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0" w:before="3240" w:lineRule="auto"/>
        <w:rPr/>
      </w:pPr>
      <w:r w:rsidDel="00000000" w:rsidR="00000000" w:rsidRPr="00000000">
        <w:rPr/>
        <w:drawing>
          <wp:inline distB="0" distT="0" distL="0" distR="0">
            <wp:extent cx="2249514" cy="975693"/>
            <wp:effectExtent b="0" l="0" r="0" t="0"/>
            <wp:docPr descr="A close up of a sign&#10;&#10;Description automatically generated" id="330" name="image2.png"/>
            <a:graphic>
              <a:graphicData uri="http://schemas.openxmlformats.org/drawingml/2006/picture">
                <pic:pic>
                  <pic:nvPicPr>
                    <pic:cNvPr descr="A close up of a sign&#10;&#10;Description automatically generated" id="0" name="image2.png"/>
                    <pic:cNvPicPr preferRelativeResize="0"/>
                  </pic:nvPicPr>
                  <pic:blipFill>
                    <a:blip r:embed="rId7"/>
                    <a:srcRect b="0" l="0" r="0" t="0"/>
                    <a:stretch>
                      <a:fillRect/>
                    </a:stretch>
                  </pic:blipFill>
                  <pic:spPr>
                    <a:xfrm>
                      <a:off x="0" y="0"/>
                      <a:ext cx="2249514" cy="97569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spacing w:after="480" w:lineRule="auto"/>
        <w:rPr>
          <w:color w:val="3b7262"/>
        </w:rPr>
      </w:pPr>
      <w:r w:rsidDel="00000000" w:rsidR="00000000" w:rsidRPr="00000000">
        <w:rPr>
          <w:color w:val="3b7262"/>
          <w:rtl w:val="0"/>
        </w:rPr>
        <w:t xml:space="preserve">Charts and Studies</w:t>
      </w:r>
    </w:p>
    <w:p w:rsidR="00000000" w:rsidDel="00000000" w:rsidP="00000000" w:rsidRDefault="00000000" w:rsidRPr="00000000" w14:paraId="00000003">
      <w:pPr>
        <w:jc w:val="center"/>
        <w:rPr>
          <w:sz w:val="36"/>
          <w:szCs w:val="36"/>
        </w:rPr>
      </w:pPr>
      <w:r w:rsidDel="00000000" w:rsidR="00000000" w:rsidRPr="00000000">
        <w:rPr>
          <w:sz w:val="36"/>
          <w:szCs w:val="36"/>
          <w:rtl w:val="0"/>
        </w:rPr>
        <w:t xml:space="preserve">Version 8.7</w:t>
      </w:r>
    </w:p>
    <w:p w:rsidR="00000000" w:rsidDel="00000000" w:rsidP="00000000" w:rsidRDefault="00000000" w:rsidRPr="00000000" w14:paraId="00000004">
      <w:pPr>
        <w:spacing w:after="0" w:lineRule="auto"/>
        <w:jc w:val="center"/>
        <w:rPr>
          <w:sz w:val="28"/>
          <w:szCs w:val="28"/>
        </w:rPr>
      </w:pPr>
      <w:r w:rsidDel="00000000" w:rsidR="00000000" w:rsidRPr="00000000">
        <w:rPr>
          <w:sz w:val="28"/>
          <w:szCs w:val="28"/>
          <w:rtl w:val="0"/>
        </w:rPr>
        <w:t xml:space="preserve">May 2022</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pStyle w:val="Heading1"/>
        <w:rPr/>
      </w:pPr>
      <w:bookmarkStart w:colFirst="0" w:colLast="0" w:name="_heading=h.gjdgxs" w:id="0"/>
      <w:bookmarkEnd w:id="0"/>
      <w:r w:rsidDel="00000000" w:rsidR="00000000" w:rsidRPr="00000000">
        <w:br w:type="page"/>
      </w:r>
      <w:r w:rsidDel="00000000" w:rsidR="00000000" w:rsidRPr="00000000">
        <w:rPr>
          <w:rtl w:val="0"/>
        </w:rPr>
      </w:r>
    </w:p>
    <w:p w:rsidR="00000000" w:rsidDel="00000000" w:rsidP="00000000" w:rsidRDefault="00000000" w:rsidRPr="00000000" w14:paraId="00000007">
      <w:pPr>
        <w:keepNext w:val="1"/>
        <w:keepLines w:val="1"/>
        <w:pBdr>
          <w:top w:space="0" w:sz="0" w:val="nil"/>
          <w:left w:space="0" w:sz="0" w:val="nil"/>
          <w:bottom w:space="0" w:sz="0" w:val="nil"/>
          <w:right w:space="0" w:sz="0" w:val="nil"/>
          <w:between w:space="0" w:sz="0" w:val="nil"/>
        </w:pBdr>
        <w:spacing w:before="480" w:lineRule="auto"/>
        <w:rPr>
          <w:color w:val="3b7262"/>
          <w:sz w:val="36"/>
          <w:szCs w:val="36"/>
        </w:rPr>
      </w:pPr>
      <w:bookmarkStart w:colFirst="0" w:colLast="0" w:name="_heading=h.30j0zll" w:id="1"/>
      <w:bookmarkEnd w:id="1"/>
      <w:r w:rsidDel="00000000" w:rsidR="00000000" w:rsidRPr="00000000">
        <w:rPr>
          <w:color w:val="3b7262"/>
          <w:sz w:val="36"/>
          <w:szCs w:val="36"/>
          <w:rtl w:val="0"/>
        </w:rPr>
        <w:t xml:space="preserve">About this Guide</w:t>
      </w:r>
    </w:p>
    <w:p w:rsidR="00000000" w:rsidDel="00000000" w:rsidP="00000000" w:rsidRDefault="00000000" w:rsidRPr="00000000" w14:paraId="00000008">
      <w:pPr>
        <w:rPr/>
      </w:pPr>
      <w:bookmarkStart w:colFirst="0" w:colLast="0" w:name="_heading=h.1fob9te" w:id="2"/>
      <w:bookmarkEnd w:id="2"/>
      <w:r w:rsidDel="00000000" w:rsidR="00000000" w:rsidRPr="00000000">
        <w:rPr>
          <w:rtl w:val="0"/>
        </w:rPr>
        <w:t xml:space="preserve">This guide provides detailed information about the charts and studies (technical indicators) included in the ChartIQ library.</w:t>
      </w:r>
    </w:p>
    <w:p w:rsidR="00000000" w:rsidDel="00000000" w:rsidP="00000000" w:rsidRDefault="00000000" w:rsidRPr="00000000" w14:paraId="00000009">
      <w:pPr>
        <w:keepNext w:val="1"/>
        <w:keepLines w:val="1"/>
        <w:pBdr>
          <w:top w:space="0" w:sz="0" w:val="nil"/>
          <w:left w:space="0" w:sz="0" w:val="nil"/>
          <w:bottom w:space="0" w:sz="0" w:val="nil"/>
          <w:right w:space="0" w:sz="0" w:val="nil"/>
          <w:between w:space="0" w:sz="0" w:val="nil"/>
        </w:pBdr>
        <w:spacing w:before="480" w:lineRule="auto"/>
        <w:rPr>
          <w:color w:val="3b7262"/>
          <w:sz w:val="36"/>
          <w:szCs w:val="36"/>
        </w:rPr>
      </w:pPr>
      <w:bookmarkStart w:colFirst="0" w:colLast="0" w:name="_heading=h.3znysh7" w:id="3"/>
      <w:bookmarkEnd w:id="3"/>
      <w:r w:rsidDel="00000000" w:rsidR="00000000" w:rsidRPr="00000000">
        <w:rPr>
          <w:color w:val="3b7262"/>
          <w:sz w:val="36"/>
          <w:szCs w:val="36"/>
          <w:rtl w:val="0"/>
        </w:rPr>
        <w:t xml:space="preserve">Audience</w:t>
      </w:r>
    </w:p>
    <w:p w:rsidR="00000000" w:rsidDel="00000000" w:rsidP="00000000" w:rsidRDefault="00000000" w:rsidRPr="00000000" w14:paraId="0000000A">
      <w:pPr>
        <w:rPr/>
      </w:pPr>
      <w:bookmarkStart w:colFirst="0" w:colLast="0" w:name="_heading=h.2et92p0" w:id="4"/>
      <w:bookmarkEnd w:id="4"/>
      <w:r w:rsidDel="00000000" w:rsidR="00000000" w:rsidRPr="00000000">
        <w:rPr>
          <w:rtl w:val="0"/>
        </w:rPr>
        <w:t xml:space="preserve">The </w:t>
      </w:r>
      <w:r w:rsidDel="00000000" w:rsidR="00000000" w:rsidRPr="00000000">
        <w:rPr>
          <w:i w:val="1"/>
          <w:rtl w:val="0"/>
        </w:rPr>
        <w:t xml:space="preserve">Charts and Studies</w:t>
      </w:r>
      <w:r w:rsidDel="00000000" w:rsidR="00000000" w:rsidRPr="00000000">
        <w:rPr>
          <w:rtl w:val="0"/>
        </w:rPr>
        <w:t xml:space="preserve"> guide is intended for chart users, such as chartists and technical and data analysts. For information about the ChartIQ chart user interface, see the </w:t>
      </w:r>
      <w:r w:rsidDel="00000000" w:rsidR="00000000" w:rsidRPr="00000000">
        <w:rPr>
          <w:i w:val="1"/>
          <w:rtl w:val="0"/>
        </w:rPr>
        <w:t xml:space="preserve">ChartIQ User Guide</w:t>
      </w:r>
      <w:r w:rsidDel="00000000" w:rsidR="00000000" w:rsidRPr="00000000">
        <w:rPr>
          <w:rtl w:val="0"/>
        </w:rPr>
        <w:t xml:space="preserve">. For information about software application development, see the </w:t>
      </w:r>
      <w:hyperlink r:id="rId8">
        <w:r w:rsidDel="00000000" w:rsidR="00000000" w:rsidRPr="00000000">
          <w:rPr>
            <w:color w:val="1155cc"/>
            <w:u w:val="single"/>
            <w:rtl w:val="0"/>
          </w:rPr>
          <w:t xml:space="preserve">charting library documentation</w:t>
        </w:r>
      </w:hyperlink>
      <w:r w:rsidDel="00000000" w:rsidR="00000000" w:rsidRPr="00000000">
        <w:rPr>
          <w:rtl w:val="0"/>
        </w:rPr>
        <w:t xml:space="preserve">.</w:t>
      </w:r>
    </w:p>
    <w:p w:rsidR="00000000" w:rsidDel="00000000" w:rsidP="00000000" w:rsidRDefault="00000000" w:rsidRPr="00000000" w14:paraId="0000000B">
      <w:pPr>
        <w:rPr/>
      </w:pPr>
      <w:bookmarkStart w:colFirst="0" w:colLast="0" w:name="_heading=h.tyjcwt" w:id="5"/>
      <w:bookmarkEnd w:id="5"/>
      <w:r w:rsidDel="00000000" w:rsidR="00000000" w:rsidRPr="00000000">
        <w:br w:type="page"/>
      </w:r>
      <w:r w:rsidDel="00000000" w:rsidR="00000000" w:rsidRPr="00000000">
        <w:rPr>
          <w:rtl w:val="0"/>
        </w:rPr>
      </w:r>
    </w:p>
    <w:p w:rsidR="00000000" w:rsidDel="00000000" w:rsidP="00000000" w:rsidRDefault="00000000" w:rsidRPr="00000000" w14:paraId="0000000C">
      <w:pPr>
        <w:keepNext w:val="1"/>
        <w:keepLines w:val="1"/>
        <w:pBdr>
          <w:top w:space="0" w:sz="0" w:val="nil"/>
          <w:left w:space="0" w:sz="0" w:val="nil"/>
          <w:bottom w:space="0" w:sz="0" w:val="nil"/>
          <w:right w:space="0" w:sz="0" w:val="nil"/>
          <w:between w:space="0" w:sz="0" w:val="nil"/>
        </w:pBdr>
        <w:spacing w:before="480" w:lineRule="auto"/>
        <w:rPr>
          <w:color w:val="3b7262"/>
          <w:sz w:val="36"/>
          <w:szCs w:val="36"/>
        </w:rPr>
      </w:pPr>
      <w:r w:rsidDel="00000000" w:rsidR="00000000" w:rsidRPr="00000000">
        <w:rPr>
          <w:color w:val="3b7262"/>
          <w:sz w:val="36"/>
          <w:szCs w:val="36"/>
          <w:rtl w:val="0"/>
        </w:rPr>
        <w:t xml:space="preserve">Contents</w:t>
      </w:r>
    </w:p>
    <w:sdt>
      <w:sdtPr>
        <w:docPartObj>
          <w:docPartGallery w:val="Table of Contents"/>
          <w:docPartUnique w:val="1"/>
        </w:docPartObj>
      </w:sdtPr>
      <w:sdtContent>
        <w:p w:rsidR="00000000" w:rsidDel="00000000" w:rsidP="00000000" w:rsidRDefault="00000000" w:rsidRPr="00000000" w14:paraId="0000000D">
          <w:pPr>
            <w:tabs>
              <w:tab w:val="right" w:pos="9360"/>
            </w:tabs>
            <w:spacing w:before="80" w:line="240" w:lineRule="auto"/>
            <w:ind w:left="0" w:firstLine="0"/>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206ipza">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Chart Styles and Types</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_heading=h.206ipza \h </w:instrText>
            <w:fldChar w:fldCharType="separate"/>
          </w: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360"/>
            </w:tabs>
            <w:spacing w:before="200" w:line="240" w:lineRule="auto"/>
            <w:ind w:left="0" w:firstLine="0"/>
            <w:rPr>
              <w:rFonts w:ascii="Roboto" w:cs="Roboto" w:eastAsia="Roboto" w:hAnsi="Roboto"/>
              <w:b w:val="0"/>
              <w:i w:val="0"/>
              <w:smallCaps w:val="0"/>
              <w:strike w:val="0"/>
              <w:color w:val="000000"/>
              <w:sz w:val="22"/>
              <w:szCs w:val="22"/>
              <w:u w:val="none"/>
              <w:shd w:fill="auto" w:val="clear"/>
              <w:vertAlign w:val="baseline"/>
            </w:rPr>
          </w:pPr>
          <w:hyperlink w:anchor="_heading=h.4k668n3">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Chart Styles</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_heading=h.4k668n3 \h </w:instrText>
            <w:fldChar w:fldCharType="separate"/>
          </w: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360"/>
            </w:tabs>
            <w:spacing w:before="60" w:line="240" w:lineRule="auto"/>
            <w:ind w:left="360" w:firstLine="0"/>
            <w:rPr>
              <w:rFonts w:ascii="Roboto" w:cs="Roboto" w:eastAsia="Roboto" w:hAnsi="Roboto"/>
              <w:b w:val="0"/>
              <w:i w:val="0"/>
              <w:smallCaps w:val="0"/>
              <w:strike w:val="0"/>
              <w:color w:val="000000"/>
              <w:sz w:val="22"/>
              <w:szCs w:val="22"/>
              <w:u w:val="none"/>
              <w:shd w:fill="auto" w:val="clear"/>
              <w:vertAlign w:val="baseline"/>
            </w:rPr>
          </w:pPr>
          <w:hyperlink w:anchor="_heading=h.2zbgiuw">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Line</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_heading=h.2zbgiuw \h </w:instrText>
            <w:fldChar w:fldCharType="separate"/>
          </w: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360"/>
            </w:tabs>
            <w:spacing w:before="60" w:line="240" w:lineRule="auto"/>
            <w:ind w:left="360" w:firstLine="0"/>
            <w:rPr>
              <w:rFonts w:ascii="Roboto" w:cs="Roboto" w:eastAsia="Roboto" w:hAnsi="Roboto"/>
              <w:b w:val="0"/>
              <w:i w:val="0"/>
              <w:smallCaps w:val="0"/>
              <w:strike w:val="0"/>
              <w:color w:val="000000"/>
              <w:sz w:val="22"/>
              <w:szCs w:val="22"/>
              <w:u w:val="none"/>
              <w:shd w:fill="auto" w:val="clear"/>
              <w:vertAlign w:val="baseline"/>
            </w:rPr>
          </w:pPr>
          <w:hyperlink w:anchor="_heading=h.1egqt2p">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Colored line</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_heading=h.1egqt2p \h </w:instrText>
            <w:fldChar w:fldCharType="separate"/>
          </w: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360"/>
            </w:tabs>
            <w:spacing w:before="60" w:line="240" w:lineRule="auto"/>
            <w:ind w:left="360" w:firstLine="0"/>
            <w:rPr>
              <w:rFonts w:ascii="Roboto" w:cs="Roboto" w:eastAsia="Roboto" w:hAnsi="Roboto"/>
              <w:b w:val="0"/>
              <w:i w:val="0"/>
              <w:smallCaps w:val="0"/>
              <w:strike w:val="0"/>
              <w:color w:val="000000"/>
              <w:sz w:val="22"/>
              <w:szCs w:val="22"/>
              <w:u w:val="none"/>
              <w:shd w:fill="auto" w:val="clear"/>
              <w:vertAlign w:val="baseline"/>
            </w:rPr>
          </w:pPr>
          <w:hyperlink w:anchor="_heading=h.3ygebqi">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Bar</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_heading=h.3ygebqi \h </w:instrText>
            <w:fldChar w:fldCharType="separate"/>
          </w: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360"/>
            </w:tabs>
            <w:spacing w:before="60" w:line="240" w:lineRule="auto"/>
            <w:ind w:left="360" w:firstLine="0"/>
            <w:rPr>
              <w:rFonts w:ascii="Roboto" w:cs="Roboto" w:eastAsia="Roboto" w:hAnsi="Roboto"/>
              <w:b w:val="0"/>
              <w:i w:val="0"/>
              <w:smallCaps w:val="0"/>
              <w:strike w:val="0"/>
              <w:color w:val="000000"/>
              <w:sz w:val="22"/>
              <w:szCs w:val="22"/>
              <w:u w:val="none"/>
              <w:shd w:fill="auto" w:val="clear"/>
              <w:vertAlign w:val="baseline"/>
            </w:rPr>
          </w:pPr>
          <w:hyperlink w:anchor="_heading=h.2dlolyb">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Colored bar</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_heading=h.2dlolyb \h </w:instrText>
            <w:fldChar w:fldCharType="separate"/>
          </w: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360"/>
            </w:tabs>
            <w:spacing w:before="60" w:line="240" w:lineRule="auto"/>
            <w:ind w:left="360" w:firstLine="0"/>
            <w:rPr>
              <w:rFonts w:ascii="Roboto" w:cs="Roboto" w:eastAsia="Roboto" w:hAnsi="Roboto"/>
              <w:b w:val="0"/>
              <w:i w:val="0"/>
              <w:smallCaps w:val="0"/>
              <w:strike w:val="0"/>
              <w:color w:val="000000"/>
              <w:sz w:val="22"/>
              <w:szCs w:val="22"/>
              <w:u w:val="none"/>
              <w:shd w:fill="auto" w:val="clear"/>
              <w:vertAlign w:val="baseline"/>
            </w:rPr>
          </w:pPr>
          <w:hyperlink w:anchor="_heading=h.sqyw64">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Candle</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_heading=h.sqyw64 \h </w:instrText>
            <w:fldChar w:fldCharType="separate"/>
          </w: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360"/>
            </w:tabs>
            <w:spacing w:before="60" w:line="240" w:lineRule="auto"/>
            <w:ind w:left="360" w:firstLine="0"/>
            <w:rPr>
              <w:rFonts w:ascii="Roboto" w:cs="Roboto" w:eastAsia="Roboto" w:hAnsi="Roboto"/>
              <w:b w:val="0"/>
              <w:i w:val="0"/>
              <w:smallCaps w:val="0"/>
              <w:strike w:val="0"/>
              <w:color w:val="000000"/>
              <w:sz w:val="22"/>
              <w:szCs w:val="22"/>
              <w:u w:val="none"/>
              <w:shd w:fill="auto" w:val="clear"/>
              <w:vertAlign w:val="baseline"/>
            </w:rPr>
          </w:pPr>
          <w:hyperlink w:anchor="_heading=h.3cqmetx">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Hollow candle</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_heading=h.3cqmetx \h </w:instrText>
            <w:fldChar w:fldCharType="separate"/>
          </w: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360"/>
            </w:tabs>
            <w:spacing w:before="60" w:line="240" w:lineRule="auto"/>
            <w:ind w:left="360" w:firstLine="0"/>
            <w:rPr>
              <w:rFonts w:ascii="Roboto" w:cs="Roboto" w:eastAsia="Roboto" w:hAnsi="Roboto"/>
              <w:b w:val="0"/>
              <w:i w:val="0"/>
              <w:smallCaps w:val="0"/>
              <w:strike w:val="0"/>
              <w:color w:val="000000"/>
              <w:sz w:val="22"/>
              <w:szCs w:val="22"/>
              <w:u w:val="none"/>
              <w:shd w:fill="auto" w:val="clear"/>
              <w:vertAlign w:val="baseline"/>
            </w:rPr>
          </w:pPr>
          <w:hyperlink w:anchor="_heading=h.1rvwp1q">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Volume candle</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_heading=h.1rvwp1q \h </w:instrText>
            <w:fldChar w:fldCharType="separate"/>
          </w: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before="60" w:line="240" w:lineRule="auto"/>
            <w:ind w:left="360" w:firstLine="0"/>
            <w:rPr>
              <w:rFonts w:ascii="Roboto" w:cs="Roboto" w:eastAsia="Roboto" w:hAnsi="Roboto"/>
              <w:b w:val="0"/>
              <w:i w:val="0"/>
              <w:smallCaps w:val="0"/>
              <w:strike w:val="0"/>
              <w:color w:val="000000"/>
              <w:sz w:val="22"/>
              <w:szCs w:val="22"/>
              <w:u w:val="none"/>
              <w:shd w:fill="auto" w:val="clear"/>
              <w:vertAlign w:val="baseline"/>
            </w:rPr>
          </w:pPr>
          <w:hyperlink w:anchor="_heading=h.4bvk7pj">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Mountain</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_heading=h.4bvk7pj \h </w:instrText>
            <w:fldChar w:fldCharType="separate"/>
          </w: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60" w:line="240" w:lineRule="auto"/>
            <w:ind w:left="360" w:firstLine="0"/>
            <w:rPr>
              <w:rFonts w:ascii="Roboto" w:cs="Roboto" w:eastAsia="Roboto" w:hAnsi="Roboto"/>
              <w:b w:val="0"/>
              <w:i w:val="0"/>
              <w:smallCaps w:val="0"/>
              <w:strike w:val="0"/>
              <w:color w:val="000000"/>
              <w:sz w:val="22"/>
              <w:szCs w:val="22"/>
              <w:u w:val="none"/>
              <w:shd w:fill="auto" w:val="clear"/>
              <w:vertAlign w:val="baseline"/>
            </w:rPr>
          </w:pPr>
          <w:hyperlink w:anchor="_heading=h.2r0uhxc">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Baseline delta</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_heading=h.2r0uhxc \h </w:instrText>
            <w:fldChar w:fldCharType="separate"/>
          </w: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60" w:line="240" w:lineRule="auto"/>
            <w:ind w:left="360" w:firstLine="0"/>
            <w:rPr>
              <w:rFonts w:ascii="Roboto" w:cs="Roboto" w:eastAsia="Roboto" w:hAnsi="Roboto"/>
              <w:b w:val="0"/>
              <w:i w:val="0"/>
              <w:smallCaps w:val="0"/>
              <w:strike w:val="0"/>
              <w:color w:val="000000"/>
              <w:sz w:val="22"/>
              <w:szCs w:val="22"/>
              <w:u w:val="none"/>
              <w:shd w:fill="auto" w:val="clear"/>
              <w:vertAlign w:val="baseline"/>
            </w:rPr>
          </w:pPr>
          <w:hyperlink w:anchor="_heading=h.1664s55">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Time series scatter</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_heading=h.1664s55 \h </w:instrText>
            <w:fldChar w:fldCharType="separate"/>
          </w: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60" w:line="240" w:lineRule="auto"/>
            <w:ind w:left="360" w:firstLine="0"/>
            <w:rPr>
              <w:rFonts w:ascii="Roboto" w:cs="Roboto" w:eastAsia="Roboto" w:hAnsi="Roboto"/>
              <w:b w:val="0"/>
              <w:i w:val="0"/>
              <w:smallCaps w:val="0"/>
              <w:strike w:val="0"/>
              <w:color w:val="000000"/>
              <w:sz w:val="22"/>
              <w:szCs w:val="22"/>
              <w:u w:val="none"/>
              <w:shd w:fill="auto" w:val="clear"/>
              <w:vertAlign w:val="baseline"/>
            </w:rPr>
          </w:pPr>
          <w:hyperlink w:anchor="_heading=h.3q5sasy">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HLC box chart</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_heading=h.3q5sasy \h </w:instrText>
            <w:fldChar w:fldCharType="separate"/>
          </w: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200" w:line="240" w:lineRule="auto"/>
            <w:ind w:left="0" w:firstLine="0"/>
            <w:rPr>
              <w:rFonts w:ascii="Roboto" w:cs="Roboto" w:eastAsia="Roboto" w:hAnsi="Roboto"/>
              <w:b w:val="0"/>
              <w:i w:val="0"/>
              <w:smallCaps w:val="0"/>
              <w:strike w:val="0"/>
              <w:color w:val="000000"/>
              <w:sz w:val="22"/>
              <w:szCs w:val="22"/>
              <w:u w:val="none"/>
              <w:shd w:fill="auto" w:val="clear"/>
              <w:vertAlign w:val="baseline"/>
            </w:rPr>
          </w:pPr>
          <w:hyperlink w:anchor="_heading=h.25b2l0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Chart Types</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_heading=h.25b2l0r \h </w:instrText>
            <w:fldChar w:fldCharType="separate"/>
          </w: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60" w:line="240" w:lineRule="auto"/>
            <w:ind w:left="360" w:firstLine="0"/>
            <w:rPr>
              <w:rFonts w:ascii="Roboto" w:cs="Roboto" w:eastAsia="Roboto" w:hAnsi="Roboto"/>
              <w:b w:val="0"/>
              <w:i w:val="0"/>
              <w:smallCaps w:val="0"/>
              <w:strike w:val="0"/>
              <w:color w:val="000000"/>
              <w:sz w:val="22"/>
              <w:szCs w:val="22"/>
              <w:u w:val="none"/>
              <w:shd w:fill="auto" w:val="clear"/>
              <w:vertAlign w:val="baseline"/>
            </w:rPr>
          </w:pPr>
          <w:hyperlink w:anchor="_heading=h.kgcv8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Customizing chart types</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_heading=h.kgcv8k \h </w:instrText>
            <w:fldChar w:fldCharType="separate"/>
          </w: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360" w:firstLine="0"/>
            <w:rPr>
              <w:rFonts w:ascii="Roboto" w:cs="Roboto" w:eastAsia="Roboto" w:hAnsi="Roboto"/>
              <w:b w:val="0"/>
              <w:i w:val="0"/>
              <w:smallCaps w:val="0"/>
              <w:strike w:val="0"/>
              <w:color w:val="000000"/>
              <w:sz w:val="22"/>
              <w:szCs w:val="22"/>
              <w:u w:val="none"/>
              <w:shd w:fill="auto" w:val="clear"/>
              <w:vertAlign w:val="baseline"/>
            </w:rPr>
          </w:pPr>
          <w:hyperlink w:anchor="_heading=h.34g0dwd">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Heikin-Ashi</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_heading=h.34g0dwd \h </w:instrText>
            <w:fldChar w:fldCharType="separate"/>
          </w: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60" w:line="240" w:lineRule="auto"/>
            <w:ind w:left="360" w:firstLine="0"/>
            <w:rPr>
              <w:rFonts w:ascii="Roboto" w:cs="Roboto" w:eastAsia="Roboto" w:hAnsi="Roboto"/>
              <w:b w:val="0"/>
              <w:i w:val="0"/>
              <w:smallCaps w:val="0"/>
              <w:strike w:val="0"/>
              <w:color w:val="000000"/>
              <w:sz w:val="22"/>
              <w:szCs w:val="22"/>
              <w:u w:val="none"/>
              <w:shd w:fill="auto" w:val="clear"/>
              <w:vertAlign w:val="baseline"/>
            </w:rPr>
          </w:pPr>
          <w:hyperlink w:anchor="_heading=h.1jlao46">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Kagi</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_heading=h.1jlao46 \h </w:instrText>
            <w:fldChar w:fldCharType="separate"/>
          </w: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60" w:line="240" w:lineRule="auto"/>
            <w:ind w:left="360" w:firstLine="0"/>
            <w:rPr>
              <w:rFonts w:ascii="Roboto" w:cs="Roboto" w:eastAsia="Roboto" w:hAnsi="Roboto"/>
              <w:b w:val="0"/>
              <w:i w:val="0"/>
              <w:smallCaps w:val="0"/>
              <w:strike w:val="0"/>
              <w:color w:val="000000"/>
              <w:sz w:val="22"/>
              <w:szCs w:val="22"/>
              <w:u w:val="none"/>
              <w:shd w:fill="auto" w:val="clear"/>
              <w:vertAlign w:val="baseline"/>
            </w:rPr>
          </w:pPr>
          <w:hyperlink w:anchor="_heading=h.43ky6rz">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Line break</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_heading=h.43ky6rz \h </w:instrText>
            <w:fldChar w:fldCharType="separate"/>
          </w: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60" w:line="240" w:lineRule="auto"/>
            <w:ind w:left="360" w:firstLine="0"/>
            <w:rPr>
              <w:rFonts w:ascii="Roboto" w:cs="Roboto" w:eastAsia="Roboto" w:hAnsi="Roboto"/>
              <w:b w:val="0"/>
              <w:i w:val="0"/>
              <w:smallCaps w:val="0"/>
              <w:strike w:val="0"/>
              <w:color w:val="000000"/>
              <w:sz w:val="22"/>
              <w:szCs w:val="22"/>
              <w:u w:val="none"/>
              <w:shd w:fill="auto" w:val="clear"/>
              <w:vertAlign w:val="baseline"/>
            </w:rPr>
          </w:pPr>
          <w:hyperlink w:anchor="_heading=h.2iq8gzs">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Point and figure</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_heading=h.2iq8gzs \h </w:instrText>
            <w:fldChar w:fldCharType="separate"/>
          </w: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60" w:line="240" w:lineRule="auto"/>
            <w:ind w:left="360" w:firstLine="0"/>
            <w:rPr>
              <w:rFonts w:ascii="Roboto" w:cs="Roboto" w:eastAsia="Roboto" w:hAnsi="Roboto"/>
              <w:b w:val="0"/>
              <w:i w:val="0"/>
              <w:smallCaps w:val="0"/>
              <w:strike w:val="0"/>
              <w:color w:val="000000"/>
              <w:sz w:val="22"/>
              <w:szCs w:val="22"/>
              <w:u w:val="none"/>
              <w:shd w:fill="auto" w:val="clear"/>
              <w:vertAlign w:val="baseline"/>
            </w:rPr>
          </w:pPr>
          <w:hyperlink w:anchor="_heading=h.xvir7l">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Range bars</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_heading=h.xvir7l \h </w:instrText>
            <w:fldChar w:fldCharType="separate"/>
          </w: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60" w:line="240" w:lineRule="auto"/>
            <w:ind w:left="360" w:firstLine="0"/>
            <w:rPr>
              <w:rFonts w:ascii="Roboto" w:cs="Roboto" w:eastAsia="Roboto" w:hAnsi="Roboto"/>
              <w:b w:val="0"/>
              <w:i w:val="0"/>
              <w:smallCaps w:val="0"/>
              <w:strike w:val="0"/>
              <w:color w:val="000000"/>
              <w:sz w:val="22"/>
              <w:szCs w:val="22"/>
              <w:u w:val="none"/>
              <w:shd w:fill="auto" w:val="clear"/>
              <w:vertAlign w:val="baseline"/>
            </w:rPr>
          </w:pPr>
          <w:hyperlink w:anchor="_heading=h.3hv69ve">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Renko</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_heading=h.3hv69ve \h </w:instrText>
            <w:fldChar w:fldCharType="separate"/>
          </w: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200" w:line="240" w:lineRule="auto"/>
            <w:ind w:left="0" w:firstLine="0"/>
            <w:rPr>
              <w:rFonts w:ascii="Roboto" w:cs="Roboto" w:eastAsia="Roboto" w:hAnsi="Roboto"/>
              <w:b w:val="0"/>
              <w:i w:val="0"/>
              <w:smallCaps w:val="0"/>
              <w:strike w:val="0"/>
              <w:color w:val="000000"/>
              <w:sz w:val="22"/>
              <w:szCs w:val="22"/>
              <w:u w:val="none"/>
              <w:shd w:fill="auto" w:val="clear"/>
              <w:vertAlign w:val="baseline"/>
            </w:rPr>
          </w:pPr>
          <w:hyperlink w:anchor="_heading=h.1x0gk37">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Additional Charts</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_heading=h.1x0gk37 \h </w:instrText>
            <w:fldChar w:fldCharType="separate"/>
          </w: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60" w:line="240" w:lineRule="auto"/>
            <w:ind w:left="360" w:firstLine="0"/>
            <w:rPr>
              <w:rFonts w:ascii="Roboto" w:cs="Roboto" w:eastAsia="Roboto" w:hAnsi="Roboto"/>
              <w:b w:val="0"/>
              <w:i w:val="0"/>
              <w:smallCaps w:val="0"/>
              <w:strike w:val="0"/>
              <w:color w:val="000000"/>
              <w:sz w:val="22"/>
              <w:szCs w:val="22"/>
              <w:u w:val="none"/>
              <w:shd w:fill="auto" w:val="clear"/>
              <w:vertAlign w:val="baseline"/>
            </w:rPr>
          </w:pPr>
          <w:hyperlink w:anchor="_heading=h.4h042r0">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Term Structure</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_heading=h.4h042r0 \h </w:instrText>
            <w:fldChar w:fldCharType="separate"/>
          </w: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60" w:line="240" w:lineRule="auto"/>
            <w:ind w:left="360" w:firstLine="0"/>
            <w:rPr>
              <w:rFonts w:ascii="Roboto" w:cs="Roboto" w:eastAsia="Roboto" w:hAnsi="Roboto"/>
              <w:b w:val="0"/>
              <w:i w:val="0"/>
              <w:smallCaps w:val="0"/>
              <w:strike w:val="0"/>
              <w:color w:val="000000"/>
              <w:sz w:val="22"/>
              <w:szCs w:val="22"/>
              <w:u w:val="none"/>
              <w:shd w:fill="auto" w:val="clear"/>
              <w:vertAlign w:val="baseline"/>
            </w:rPr>
          </w:pPr>
          <w:hyperlink w:anchor="_heading=h.2w5ecyt">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Data Forecasting</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_heading=h.2w5ecyt \h </w:instrText>
            <w:fldChar w:fldCharType="separate"/>
          </w: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200" w:line="240" w:lineRule="auto"/>
            <w:ind w:left="0" w:firstLine="0"/>
            <w:rPr>
              <w:rFonts w:ascii="Roboto" w:cs="Roboto" w:eastAsia="Roboto" w:hAnsi="Roboto"/>
              <w:b w:val="0"/>
              <w:i w:val="0"/>
              <w:smallCaps w:val="0"/>
              <w:strike w:val="0"/>
              <w:color w:val="000000"/>
              <w:sz w:val="22"/>
              <w:szCs w:val="22"/>
              <w:u w:val="none"/>
              <w:shd w:fill="auto" w:val="clear"/>
              <w:vertAlign w:val="baseline"/>
            </w:rPr>
          </w:pPr>
          <w:hyperlink w:anchor="_heading=h.1baon6m">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Studies</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_heading=h.1baon6m \h </w:instrText>
            <w:fldChar w:fldCharType="separate"/>
          </w: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60" w:line="240" w:lineRule="auto"/>
            <w:ind w:left="360" w:firstLine="0"/>
            <w:rPr>
              <w:rFonts w:ascii="Roboto" w:cs="Roboto" w:eastAsia="Roboto" w:hAnsi="Roboto"/>
              <w:b w:val="0"/>
              <w:i w:val="0"/>
              <w:smallCaps w:val="0"/>
              <w:strike w:val="0"/>
              <w:color w:val="000000"/>
              <w:sz w:val="22"/>
              <w:szCs w:val="22"/>
              <w:u w:val="none"/>
              <w:shd w:fill="auto" w:val="clear"/>
              <w:vertAlign w:val="baseline"/>
            </w:rPr>
          </w:pPr>
          <w:hyperlink w:anchor="_heading=h.3vac5uf">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Popular studies</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_heading=h.3vac5uf \h </w:instrText>
            <w:fldChar w:fldCharType="separate"/>
          </w: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60" w:line="240" w:lineRule="auto"/>
            <w:ind w:left="720" w:firstLine="0"/>
            <w:rPr>
              <w:rFonts w:ascii="Roboto" w:cs="Roboto" w:eastAsia="Roboto" w:hAnsi="Roboto"/>
              <w:b w:val="0"/>
              <w:i w:val="0"/>
              <w:smallCaps w:val="0"/>
              <w:strike w:val="0"/>
              <w:color w:val="000000"/>
              <w:sz w:val="22"/>
              <w:szCs w:val="22"/>
              <w:u w:val="none"/>
              <w:shd w:fill="auto" w:val="clear"/>
              <w:vertAlign w:val="baseline"/>
            </w:rPr>
          </w:pPr>
          <w:hyperlink w:anchor="_heading=h.2afmg28">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Anchored VWAP</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_heading=h.2afmg28 \h </w:instrText>
            <w:fldChar w:fldCharType="separate"/>
          </w: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60" w:line="240" w:lineRule="auto"/>
            <w:ind w:left="720" w:firstLine="0"/>
            <w:rPr>
              <w:rFonts w:ascii="Roboto" w:cs="Roboto" w:eastAsia="Roboto" w:hAnsi="Roboto"/>
              <w:b w:val="0"/>
              <w:i w:val="0"/>
              <w:smallCaps w:val="0"/>
              <w:strike w:val="0"/>
              <w:color w:val="000000"/>
              <w:sz w:val="22"/>
              <w:szCs w:val="22"/>
              <w:u w:val="none"/>
              <w:shd w:fill="auto" w:val="clear"/>
              <w:vertAlign w:val="baseline"/>
            </w:rPr>
          </w:pPr>
          <w:hyperlink w:anchor="_heading=h.pkwqa1">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Aroon / Aroon Oscillator</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_heading=h.pkwqa1 \h </w:instrText>
            <w:fldChar w:fldCharType="separate"/>
          </w: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60" w:line="240" w:lineRule="auto"/>
            <w:ind w:left="720" w:firstLine="0"/>
            <w:rPr>
              <w:rFonts w:ascii="Roboto" w:cs="Roboto" w:eastAsia="Roboto" w:hAnsi="Roboto"/>
              <w:b w:val="0"/>
              <w:i w:val="0"/>
              <w:smallCaps w:val="0"/>
              <w:strike w:val="0"/>
              <w:color w:val="000000"/>
              <w:sz w:val="22"/>
              <w:szCs w:val="22"/>
              <w:u w:val="none"/>
              <w:shd w:fill="auto" w:val="clear"/>
              <w:vertAlign w:val="baseline"/>
            </w:rPr>
          </w:pPr>
          <w:hyperlink w:anchor="_heading=h.39kk8xu">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Average Directional Index and Directional Movement System (ADX/DMS)</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_heading=h.39kk8xu \h </w:instrText>
            <w:fldChar w:fldCharType="separate"/>
          </w: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60" w:line="240" w:lineRule="auto"/>
            <w:ind w:left="720" w:firstLine="0"/>
            <w:rPr>
              <w:rFonts w:ascii="Roboto" w:cs="Roboto" w:eastAsia="Roboto" w:hAnsi="Roboto"/>
              <w:b w:val="0"/>
              <w:i w:val="0"/>
              <w:smallCaps w:val="0"/>
              <w:strike w:val="0"/>
              <w:color w:val="000000"/>
              <w:sz w:val="22"/>
              <w:szCs w:val="22"/>
              <w:u w:val="none"/>
              <w:shd w:fill="auto" w:val="clear"/>
              <w:vertAlign w:val="baseline"/>
            </w:rPr>
          </w:pPr>
          <w:hyperlink w:anchor="_heading=h.1opuj5n">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Average True Range (ATR)</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_heading=h.1opuj5n \h </w:instrText>
            <w:fldChar w:fldCharType="separate"/>
          </w: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60" w:line="240" w:lineRule="auto"/>
            <w:ind w:left="720" w:firstLine="0"/>
            <w:rPr>
              <w:rFonts w:ascii="Roboto" w:cs="Roboto" w:eastAsia="Roboto" w:hAnsi="Roboto"/>
              <w:b w:val="0"/>
              <w:i w:val="0"/>
              <w:smallCaps w:val="0"/>
              <w:strike w:val="0"/>
              <w:color w:val="000000"/>
              <w:sz w:val="22"/>
              <w:szCs w:val="22"/>
              <w:u w:val="none"/>
              <w:shd w:fill="auto" w:val="clear"/>
              <w:vertAlign w:val="baseline"/>
            </w:rPr>
          </w:pPr>
          <w:hyperlink w:anchor="_heading=h.48pi1tg">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Bollinger Bands</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_heading=h.48pi1tg \h </w:instrText>
            <w:fldChar w:fldCharType="separate"/>
          </w: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60" w:line="240" w:lineRule="auto"/>
            <w:ind w:left="720" w:firstLine="0"/>
            <w:rPr/>
          </w:pPr>
          <w:r w:rsidDel="00000000" w:rsidR="00000000" w:rsidRPr="00000000">
            <w:rPr>
              <w:rtl w:val="0"/>
            </w:rPr>
            <w:t xml:space="preserve">GoNoGo Trend</w:t>
          </w:r>
          <w:r w:rsidDel="00000000" w:rsidR="00000000" w:rsidRPr="00000000">
            <w:rPr>
              <w:color w:val="2e74b5"/>
              <w:rtl w:val="0"/>
            </w:rPr>
            <w:tab/>
          </w:r>
          <w:r w:rsidDel="00000000" w:rsidR="00000000" w:rsidRPr="00000000">
            <w:rPr>
              <w:rtl w:val="0"/>
            </w:rPr>
            <w:t xml:space="preserve">23</w:t>
          </w:r>
        </w:p>
        <w:p w:rsidR="00000000" w:rsidDel="00000000" w:rsidP="00000000" w:rsidRDefault="00000000" w:rsidRPr="00000000" w14:paraId="0000002D">
          <w:pPr>
            <w:tabs>
              <w:tab w:val="right" w:pos="9360"/>
            </w:tabs>
            <w:spacing w:before="60" w:line="240" w:lineRule="auto"/>
            <w:ind w:left="720" w:firstLine="0"/>
            <w:rPr>
              <w:rFonts w:ascii="Roboto" w:cs="Roboto" w:eastAsia="Roboto" w:hAnsi="Roboto"/>
              <w:b w:val="0"/>
              <w:i w:val="0"/>
              <w:smallCaps w:val="0"/>
              <w:strike w:val="0"/>
              <w:color w:val="000000"/>
              <w:sz w:val="22"/>
              <w:szCs w:val="22"/>
              <w:u w:val="none"/>
              <w:shd w:fill="auto" w:val="clear"/>
              <w:vertAlign w:val="baseline"/>
            </w:rPr>
          </w:pPr>
          <w:hyperlink w:anchor="_heading=h.2nusc19">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Moving Average</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_heading=h.2nusc19 \h </w:instrText>
            <w:fldChar w:fldCharType="separate"/>
          </w: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60" w:line="240" w:lineRule="auto"/>
            <w:ind w:left="720" w:firstLine="0"/>
            <w:rPr>
              <w:rFonts w:ascii="Roboto" w:cs="Roboto" w:eastAsia="Roboto" w:hAnsi="Roboto"/>
              <w:b w:val="0"/>
              <w:i w:val="0"/>
              <w:smallCaps w:val="0"/>
              <w:strike w:val="0"/>
              <w:color w:val="000000"/>
              <w:sz w:val="22"/>
              <w:szCs w:val="22"/>
              <w:u w:val="none"/>
              <w:shd w:fill="auto" w:val="clear"/>
              <w:vertAlign w:val="baseline"/>
            </w:rPr>
          </w:pPr>
          <w:hyperlink w:anchor="_heading=h.1302m92">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Moving Average Convergence Divergence (MACD)</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_heading=h.1302m92 \h </w:instrText>
            <w:fldChar w:fldCharType="separate"/>
          </w: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60" w:line="240" w:lineRule="auto"/>
            <w:ind w:left="720" w:firstLine="0"/>
            <w:rPr>
              <w:rFonts w:ascii="Roboto" w:cs="Roboto" w:eastAsia="Roboto" w:hAnsi="Roboto"/>
              <w:b w:val="0"/>
              <w:i w:val="0"/>
              <w:smallCaps w:val="0"/>
              <w:strike w:val="0"/>
              <w:color w:val="000000"/>
              <w:sz w:val="22"/>
              <w:szCs w:val="22"/>
              <w:highlight w:val="white"/>
              <w:u w:val="none"/>
              <w:vertAlign w:val="baseline"/>
            </w:rPr>
          </w:pPr>
          <w:hyperlink w:anchor="_heading=h.3mzq4wv">
            <w:r w:rsidDel="00000000" w:rsidR="00000000" w:rsidRPr="00000000">
              <w:rPr>
                <w:rFonts w:ascii="Roboto" w:cs="Roboto" w:eastAsia="Roboto" w:hAnsi="Roboto"/>
                <w:b w:val="0"/>
                <w:i w:val="0"/>
                <w:smallCaps w:val="0"/>
                <w:strike w:val="0"/>
                <w:color w:val="000000"/>
                <w:sz w:val="22"/>
                <w:szCs w:val="22"/>
                <w:highlight w:val="white"/>
                <w:u w:val="none"/>
                <w:vertAlign w:val="baseline"/>
                <w:rtl w:val="0"/>
              </w:rPr>
              <w:t xml:space="preserve">Option Sentiment by Strike</w:t>
            </w:r>
          </w:hyperlink>
          <w:r w:rsidDel="00000000" w:rsidR="00000000" w:rsidRPr="00000000">
            <w:rPr>
              <w:rFonts w:ascii="Roboto" w:cs="Roboto" w:eastAsia="Roboto" w:hAnsi="Roboto"/>
              <w:b w:val="0"/>
              <w:i w:val="0"/>
              <w:smallCaps w:val="0"/>
              <w:strike w:val="0"/>
              <w:color w:val="000000"/>
              <w:sz w:val="22"/>
              <w:szCs w:val="22"/>
              <w:highlight w:val="white"/>
              <w:u w:val="none"/>
              <w:vertAlign w:val="baseline"/>
              <w:rtl w:val="0"/>
            </w:rPr>
            <w:tab/>
          </w:r>
          <w:r w:rsidDel="00000000" w:rsidR="00000000" w:rsidRPr="00000000">
            <w:fldChar w:fldCharType="begin"/>
            <w:instrText xml:space="preserve"> PAGEREF _heading=h.3mzq4wv \h </w:instrText>
            <w:fldChar w:fldCharType="separate"/>
          </w:r>
          <w:r w:rsidDel="00000000" w:rsidR="00000000" w:rsidRPr="00000000">
            <w:rPr>
              <w:rFonts w:ascii="Roboto" w:cs="Roboto" w:eastAsia="Roboto" w:hAnsi="Roboto"/>
              <w:b w:val="0"/>
              <w:i w:val="0"/>
              <w:smallCaps w:val="0"/>
              <w:strike w:val="0"/>
              <w:color w:val="000000"/>
              <w:sz w:val="22"/>
              <w:szCs w:val="22"/>
              <w:highlight w:val="white"/>
              <w:u w:val="none"/>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before="60" w:line="240" w:lineRule="auto"/>
            <w:ind w:left="720" w:firstLine="0"/>
            <w:rPr>
              <w:rFonts w:ascii="Roboto" w:cs="Roboto" w:eastAsia="Roboto" w:hAnsi="Roboto"/>
              <w:b w:val="0"/>
              <w:i w:val="0"/>
              <w:smallCaps w:val="0"/>
              <w:strike w:val="0"/>
              <w:color w:val="000000"/>
              <w:sz w:val="22"/>
              <w:szCs w:val="22"/>
              <w:u w:val="none"/>
              <w:shd w:fill="auto" w:val="clear"/>
              <w:vertAlign w:val="baseline"/>
            </w:rPr>
          </w:pPr>
          <w:hyperlink w:anchor="_heading=h.2250f4o">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Projected Aggregate Volume</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_heading=h.2250f4o \h </w:instrText>
            <w:fldChar w:fldCharType="separate"/>
          </w: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before="60" w:line="240" w:lineRule="auto"/>
            <w:ind w:left="720" w:firstLine="0"/>
            <w:rPr>
              <w:rFonts w:ascii="Roboto" w:cs="Roboto" w:eastAsia="Roboto" w:hAnsi="Roboto"/>
              <w:b w:val="0"/>
              <w:i w:val="0"/>
              <w:smallCaps w:val="0"/>
              <w:strike w:val="0"/>
              <w:color w:val="000000"/>
              <w:sz w:val="22"/>
              <w:szCs w:val="22"/>
              <w:u w:val="none"/>
              <w:shd w:fill="auto" w:val="clear"/>
              <w:vertAlign w:val="baseline"/>
            </w:rPr>
          </w:pPr>
          <w:hyperlink w:anchor="_heading=h.haapch">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Projected Volume at Time</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_heading=h.haapch \h </w:instrText>
            <w:fldChar w:fldCharType="separate"/>
          </w: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
            </w:tabs>
            <w:spacing w:before="60" w:line="240" w:lineRule="auto"/>
            <w:ind w:left="720" w:firstLine="0"/>
            <w:rPr>
              <w:rFonts w:ascii="Roboto" w:cs="Roboto" w:eastAsia="Roboto" w:hAnsi="Roboto"/>
              <w:b w:val="0"/>
              <w:i w:val="0"/>
              <w:smallCaps w:val="0"/>
              <w:strike w:val="0"/>
              <w:color w:val="000000"/>
              <w:sz w:val="22"/>
              <w:szCs w:val="22"/>
              <w:u w:val="none"/>
              <w:shd w:fill="auto" w:val="clear"/>
              <w:vertAlign w:val="baseline"/>
            </w:rPr>
          </w:pPr>
          <w:hyperlink w:anchor="_heading=h.319y80a">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Relative Strength Index (RSI)</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_heading=h.319y80a \h </w:instrText>
            <w:fldChar w:fldCharType="separate"/>
          </w: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360"/>
            </w:tabs>
            <w:spacing w:before="60" w:line="240" w:lineRule="auto"/>
            <w:ind w:left="720" w:firstLine="0"/>
            <w:rPr>
              <w:rFonts w:ascii="Roboto" w:cs="Roboto" w:eastAsia="Roboto" w:hAnsi="Roboto"/>
              <w:b w:val="0"/>
              <w:i w:val="0"/>
              <w:smallCaps w:val="0"/>
              <w:strike w:val="0"/>
              <w:color w:val="000000"/>
              <w:sz w:val="22"/>
              <w:szCs w:val="22"/>
              <w:u w:val="none"/>
              <w:shd w:fill="auto" w:val="clear"/>
              <w:vertAlign w:val="baseline"/>
            </w:rPr>
          </w:pPr>
          <w:hyperlink w:anchor="_heading=h.1gf8i83">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Stochastics</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_heading=h.1gf8i83 \h </w:instrText>
            <w:fldChar w:fldCharType="separate"/>
          </w: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360"/>
            </w:tabs>
            <w:spacing w:before="60" w:line="240" w:lineRule="auto"/>
            <w:ind w:left="720" w:firstLine="0"/>
            <w:rPr>
              <w:rFonts w:ascii="Roboto" w:cs="Roboto" w:eastAsia="Roboto" w:hAnsi="Roboto"/>
              <w:b w:val="0"/>
              <w:i w:val="0"/>
              <w:smallCaps w:val="0"/>
              <w:strike w:val="0"/>
              <w:color w:val="000000"/>
              <w:sz w:val="22"/>
              <w:szCs w:val="22"/>
              <w:u w:val="none"/>
              <w:shd w:fill="auto" w:val="clear"/>
              <w:vertAlign w:val="baseline"/>
            </w:rPr>
          </w:pPr>
          <w:hyperlink w:anchor="_heading=h.40ew0vw">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Supertrend</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_heading=h.40ew0vw \h </w:instrText>
            <w:fldChar w:fldCharType="separate"/>
          </w: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360"/>
            </w:tabs>
            <w:spacing w:before="60" w:line="240" w:lineRule="auto"/>
            <w:ind w:left="720" w:firstLine="0"/>
            <w:rPr>
              <w:rFonts w:ascii="Roboto" w:cs="Roboto" w:eastAsia="Roboto" w:hAnsi="Roboto"/>
              <w:b w:val="0"/>
              <w:i w:val="0"/>
              <w:smallCaps w:val="0"/>
              <w:strike w:val="0"/>
              <w:color w:val="000000"/>
              <w:sz w:val="22"/>
              <w:szCs w:val="22"/>
              <w:u w:val="none"/>
              <w:shd w:fill="auto" w:val="clear"/>
              <w:vertAlign w:val="baseline"/>
            </w:rPr>
          </w:pPr>
          <w:hyperlink w:anchor="_heading=h.2fk6b3p">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Volume</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_heading=h.2fk6b3p \h </w:instrText>
            <w:fldChar w:fldCharType="separate"/>
          </w: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360"/>
            </w:tabs>
            <w:spacing w:after="80" w:before="60" w:line="240" w:lineRule="auto"/>
            <w:ind w:left="360" w:firstLine="0"/>
            <w:rPr>
              <w:rFonts w:ascii="Roboto" w:cs="Roboto" w:eastAsia="Roboto" w:hAnsi="Roboto"/>
              <w:b w:val="0"/>
              <w:i w:val="0"/>
              <w:smallCaps w:val="0"/>
              <w:strike w:val="0"/>
              <w:color w:val="000000"/>
              <w:sz w:val="22"/>
              <w:szCs w:val="22"/>
              <w:u w:val="none"/>
              <w:shd w:fill="auto" w:val="clear"/>
              <w:vertAlign w:val="baseline"/>
            </w:rPr>
          </w:pPr>
          <w:hyperlink w:anchor="_heading=h.upglbi">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All studies</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_heading=h.upglbi \h </w:instrText>
            <w:fldChar w:fldCharType="separate"/>
          </w: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7">
      <w:pPr>
        <w:pStyle w:val="Heading1"/>
        <w:rPr/>
        <w:sectPr>
          <w:headerReference r:id="rId9" w:type="default"/>
          <w:headerReference r:id="rId10" w:type="first"/>
          <w:footerReference r:id="rId11" w:type="default"/>
          <w:footerReference r:id="rId12" w:type="first"/>
          <w:pgSz w:h="15840" w:w="12240" w:orient="portrait"/>
          <w:pgMar w:bottom="1440" w:top="2160" w:left="1440" w:right="1440" w:header="720" w:footer="504"/>
          <w:pgNumType w:start="1"/>
          <w:titlePg w:val="1"/>
        </w:sectPr>
      </w:pPr>
      <w:r w:rsidDel="00000000" w:rsidR="00000000" w:rsidRPr="00000000">
        <w:rPr>
          <w:rtl w:val="0"/>
        </w:rPr>
      </w:r>
    </w:p>
    <w:p w:rsidR="00000000" w:rsidDel="00000000" w:rsidP="00000000" w:rsidRDefault="00000000" w:rsidRPr="00000000" w14:paraId="00000038">
      <w:pPr>
        <w:pStyle w:val="Heading1"/>
        <w:rPr/>
      </w:pPr>
      <w:bookmarkStart w:colFirst="0" w:colLast="0" w:name="_heading=h.206ipza" w:id="6"/>
      <w:bookmarkEnd w:id="6"/>
      <w:r w:rsidDel="00000000" w:rsidR="00000000" w:rsidRPr="00000000">
        <w:rPr>
          <w:rtl w:val="0"/>
        </w:rPr>
        <w:t xml:space="preserve">Chart Styles and Types</w:t>
      </w:r>
    </w:p>
    <w:p w:rsidR="00000000" w:rsidDel="00000000" w:rsidP="00000000" w:rsidRDefault="00000000" w:rsidRPr="00000000" w14:paraId="00000039">
      <w:pPr>
        <w:rPr/>
      </w:pPr>
      <w:r w:rsidDel="00000000" w:rsidR="00000000" w:rsidRPr="00000000">
        <w:rPr>
          <w:rtl w:val="0"/>
        </w:rPr>
        <w:t xml:space="preserve">The charting library supports a variety of chart styles and types. </w:t>
      </w:r>
    </w:p>
    <w:p w:rsidR="00000000" w:rsidDel="00000000" w:rsidP="00000000" w:rsidRDefault="00000000" w:rsidRPr="00000000" w14:paraId="0000003A">
      <w:pPr>
        <w:rPr/>
      </w:pPr>
      <w:r w:rsidDel="00000000" w:rsidR="00000000" w:rsidRPr="00000000">
        <w:rPr>
          <w:rtl w:val="0"/>
        </w:rPr>
        <w:t xml:space="preserve">Chart styles are the various ways that a chart can visually represent data; for example, as a candle, line, or mountain graph.</w:t>
      </w:r>
    </w:p>
    <w:p w:rsidR="00000000" w:rsidDel="00000000" w:rsidP="00000000" w:rsidRDefault="00000000" w:rsidRPr="00000000" w14:paraId="0000003B">
      <w:pPr>
        <w:rPr/>
      </w:pPr>
      <w:r w:rsidDel="00000000" w:rsidR="00000000" w:rsidRPr="00000000">
        <w:rPr>
          <w:rtl w:val="0"/>
        </w:rPr>
        <w:t xml:space="preserve">Chart types are charts that display data that has been modified through aggregation or recalculation; for example, Heikin-Ashi, Kagi, and point and figure charts.</w:t>
      </w:r>
    </w:p>
    <w:p w:rsidR="00000000" w:rsidDel="00000000" w:rsidP="00000000" w:rsidRDefault="00000000" w:rsidRPr="00000000" w14:paraId="0000003C">
      <w:pPr>
        <w:rPr/>
      </w:pPr>
      <w:r w:rsidDel="00000000" w:rsidR="00000000" w:rsidRPr="00000000">
        <w:rPr>
          <w:rtl w:val="0"/>
        </w:rPr>
        <w:t xml:space="preserve">In some cases, a chart type includes a chart style. For instance, a point and figure chart aggregates data while requiring a specific display style.</w:t>
      </w:r>
    </w:p>
    <w:p w:rsidR="00000000" w:rsidDel="00000000" w:rsidP="00000000" w:rsidRDefault="00000000" w:rsidRPr="00000000" w14:paraId="0000003D">
      <w:pPr>
        <w:rPr/>
      </w:pPr>
      <w:r w:rsidDel="00000000" w:rsidR="00000000" w:rsidRPr="00000000">
        <w:rPr>
          <w:rtl w:val="0"/>
        </w:rPr>
        <w:t xml:space="preserve">You can switch between chart styles and types without disturbing the chart state. For example, drawings and studies are maintained as you change from chart to chart, enabling you to alter your view but keep your work. The charts automatically adjust the scale and positioning of drawings and study lines as appropriate for the chart type.</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Pr>
        <w:drawing>
          <wp:inline distB="114300" distT="114300" distL="114300" distR="114300">
            <wp:extent cx="5943600" cy="3009900"/>
            <wp:effectExtent b="0" l="0" r="0" t="0"/>
            <wp:docPr id="332"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94360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before="80" w:lineRule="auto"/>
        <w:rPr>
          <w:i w:val="1"/>
          <w:color w:val="000000"/>
          <w:sz w:val="18"/>
          <w:szCs w:val="18"/>
        </w:rPr>
      </w:pPr>
      <w:r w:rsidDel="00000000" w:rsidR="00000000" w:rsidRPr="00000000">
        <w:rPr>
          <w:b w:val="1"/>
          <w:i w:val="1"/>
          <w:color w:val="000000"/>
          <w:sz w:val="18"/>
          <w:szCs w:val="18"/>
          <w:rtl w:val="0"/>
        </w:rPr>
        <w:t xml:space="preserve">Figure.</w:t>
      </w:r>
      <w:r w:rsidDel="00000000" w:rsidR="00000000" w:rsidRPr="00000000">
        <w:rPr>
          <w:i w:val="1"/>
          <w:color w:val="000000"/>
          <w:sz w:val="18"/>
          <w:szCs w:val="18"/>
          <w:rtl w:val="0"/>
        </w:rPr>
        <w:t xml:space="preserve"> Candle chart with Alligator study and circle.</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tabs>
          <w:tab w:val="left" w:pos="2724"/>
        </w:tabs>
        <w:rPr/>
      </w:pPr>
      <w:r w:rsidDel="00000000" w:rsidR="00000000" w:rsidRPr="00000000">
        <w:rPr>
          <w:rtl w:val="0"/>
        </w:rPr>
        <w:tab/>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Pr>
        <w:drawing>
          <wp:inline distB="114300" distT="114300" distL="114300" distR="114300">
            <wp:extent cx="5943600" cy="3022600"/>
            <wp:effectExtent b="0" l="0" r="0" t="0"/>
            <wp:docPr id="331"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5943600" cy="30226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before="80" w:lineRule="auto"/>
        <w:rPr>
          <w:i w:val="1"/>
          <w:color w:val="000000"/>
          <w:sz w:val="18"/>
          <w:szCs w:val="18"/>
        </w:rPr>
      </w:pPr>
      <w:r w:rsidDel="00000000" w:rsidR="00000000" w:rsidRPr="00000000">
        <w:rPr>
          <w:b w:val="1"/>
          <w:i w:val="1"/>
          <w:color w:val="000000"/>
          <w:sz w:val="18"/>
          <w:szCs w:val="18"/>
          <w:rtl w:val="0"/>
        </w:rPr>
        <w:t xml:space="preserve">Figure.</w:t>
      </w:r>
      <w:r w:rsidDel="00000000" w:rsidR="00000000" w:rsidRPr="00000000">
        <w:rPr>
          <w:i w:val="1"/>
          <w:color w:val="000000"/>
          <w:sz w:val="18"/>
          <w:szCs w:val="18"/>
          <w:rtl w:val="0"/>
        </w:rPr>
        <w:t xml:space="preserve"> Baseline chart with Alligator study and circle.</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Pr>
        <w:drawing>
          <wp:inline distB="114300" distT="114300" distL="114300" distR="114300">
            <wp:extent cx="5943600" cy="3022600"/>
            <wp:effectExtent b="0" l="0" r="0" t="0"/>
            <wp:docPr id="334"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5943600" cy="30226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before="80" w:lineRule="auto"/>
        <w:rPr>
          <w:i w:val="1"/>
          <w:color w:val="000000"/>
          <w:sz w:val="18"/>
          <w:szCs w:val="18"/>
        </w:rPr>
      </w:pPr>
      <w:r w:rsidDel="00000000" w:rsidR="00000000" w:rsidRPr="00000000">
        <w:rPr>
          <w:b w:val="1"/>
          <w:i w:val="1"/>
          <w:color w:val="000000"/>
          <w:sz w:val="18"/>
          <w:szCs w:val="18"/>
          <w:rtl w:val="0"/>
        </w:rPr>
        <w:t xml:space="preserve">Figure.</w:t>
      </w:r>
      <w:r w:rsidDel="00000000" w:rsidR="00000000" w:rsidRPr="00000000">
        <w:rPr>
          <w:i w:val="1"/>
          <w:color w:val="000000"/>
          <w:sz w:val="18"/>
          <w:szCs w:val="18"/>
          <w:rtl w:val="0"/>
        </w:rPr>
        <w:t xml:space="preserve"> Line break chart with Alligator study and circle.</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Pr>
        <w:drawing>
          <wp:inline distB="114300" distT="114300" distL="114300" distR="114300">
            <wp:extent cx="5943600" cy="3032164"/>
            <wp:effectExtent b="0" l="0" r="0" t="0"/>
            <wp:docPr id="333"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5943600" cy="3032164"/>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before="80" w:lineRule="auto"/>
        <w:rPr>
          <w:i w:val="1"/>
          <w:color w:val="000000"/>
          <w:sz w:val="18"/>
          <w:szCs w:val="18"/>
        </w:rPr>
      </w:pPr>
      <w:r w:rsidDel="00000000" w:rsidR="00000000" w:rsidRPr="00000000">
        <w:rPr>
          <w:b w:val="1"/>
          <w:i w:val="1"/>
          <w:color w:val="000000"/>
          <w:sz w:val="18"/>
          <w:szCs w:val="18"/>
          <w:rtl w:val="0"/>
        </w:rPr>
        <w:t xml:space="preserve">Figure.</w:t>
      </w:r>
      <w:r w:rsidDel="00000000" w:rsidR="00000000" w:rsidRPr="00000000">
        <w:rPr>
          <w:i w:val="1"/>
          <w:color w:val="000000"/>
          <w:sz w:val="18"/>
          <w:szCs w:val="18"/>
          <w:rtl w:val="0"/>
        </w:rPr>
        <w:t xml:space="preserve"> Kagi chart with Alligator study and circle (on far right).</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Pr>
        <w:drawing>
          <wp:inline distB="114300" distT="114300" distL="114300" distR="114300">
            <wp:extent cx="5940648" cy="3035300"/>
            <wp:effectExtent b="0" l="0" r="0" t="0"/>
            <wp:docPr id="336" name="image23.png"/>
            <a:graphic>
              <a:graphicData uri="http://schemas.openxmlformats.org/drawingml/2006/picture">
                <pic:pic>
                  <pic:nvPicPr>
                    <pic:cNvPr id="0" name="image23.png"/>
                    <pic:cNvPicPr preferRelativeResize="0"/>
                  </pic:nvPicPr>
                  <pic:blipFill>
                    <a:blip r:embed="rId17"/>
                    <a:srcRect b="0" l="0" r="0" t="0"/>
                    <a:stretch>
                      <a:fillRect/>
                    </a:stretch>
                  </pic:blipFill>
                  <pic:spPr>
                    <a:xfrm>
                      <a:off x="0" y="0"/>
                      <a:ext cx="5940648"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before="80" w:lineRule="auto"/>
        <w:rPr>
          <w:i w:val="1"/>
          <w:color w:val="000000"/>
          <w:sz w:val="18"/>
          <w:szCs w:val="18"/>
        </w:rPr>
      </w:pPr>
      <w:r w:rsidDel="00000000" w:rsidR="00000000" w:rsidRPr="00000000">
        <w:rPr>
          <w:b w:val="1"/>
          <w:i w:val="1"/>
          <w:color w:val="000000"/>
          <w:sz w:val="18"/>
          <w:szCs w:val="18"/>
          <w:rtl w:val="0"/>
        </w:rPr>
        <w:t xml:space="preserve">Figure.</w:t>
      </w:r>
      <w:r w:rsidDel="00000000" w:rsidR="00000000" w:rsidRPr="00000000">
        <w:rPr>
          <w:i w:val="1"/>
          <w:color w:val="000000"/>
          <w:sz w:val="18"/>
          <w:szCs w:val="18"/>
          <w:rtl w:val="0"/>
        </w:rPr>
        <w:t xml:space="preserve"> Point and figure chart with Alligator study and circle (on far right).</w:t>
      </w:r>
    </w:p>
    <w:p w:rsidR="00000000" w:rsidDel="00000000" w:rsidP="00000000" w:rsidRDefault="00000000" w:rsidRPr="00000000" w14:paraId="0000004F">
      <w:pPr>
        <w:pStyle w:val="Heading1"/>
        <w:rPr/>
      </w:pPr>
      <w:bookmarkStart w:colFirst="0" w:colLast="0" w:name="_heading=h.1t3h5sf" w:id="7"/>
      <w:bookmarkEnd w:id="7"/>
      <w:r w:rsidDel="00000000" w:rsidR="00000000" w:rsidRPr="00000000">
        <w:br w:type="page"/>
      </w:r>
      <w:r w:rsidDel="00000000" w:rsidR="00000000" w:rsidRPr="00000000">
        <w:rPr>
          <w:rtl w:val="0"/>
        </w:rPr>
      </w:r>
    </w:p>
    <w:p w:rsidR="00000000" w:rsidDel="00000000" w:rsidP="00000000" w:rsidRDefault="00000000" w:rsidRPr="00000000" w14:paraId="00000050">
      <w:pPr>
        <w:pStyle w:val="Heading1"/>
        <w:rPr/>
      </w:pPr>
      <w:bookmarkStart w:colFirst="0" w:colLast="0" w:name="_heading=h.4k668n3" w:id="8"/>
      <w:bookmarkEnd w:id="8"/>
      <w:r w:rsidDel="00000000" w:rsidR="00000000" w:rsidRPr="00000000">
        <w:rPr>
          <w:rtl w:val="0"/>
        </w:rPr>
        <w:t xml:space="preserve">Chart Styles</w:t>
      </w:r>
    </w:p>
    <w:p w:rsidR="00000000" w:rsidDel="00000000" w:rsidP="00000000" w:rsidRDefault="00000000" w:rsidRPr="00000000" w14:paraId="00000051">
      <w:pPr>
        <w:pStyle w:val="Heading2"/>
        <w:rPr/>
      </w:pPr>
      <w:bookmarkStart w:colFirst="0" w:colLast="0" w:name="_heading=h.2zbgiuw" w:id="9"/>
      <w:bookmarkEnd w:id="9"/>
      <w:r w:rsidDel="00000000" w:rsidR="00000000" w:rsidRPr="00000000">
        <w:rPr>
          <w:rtl w:val="0"/>
        </w:rPr>
        <w:t xml:space="preserve">Line</w:t>
      </w:r>
    </w:p>
    <w:p w:rsidR="00000000" w:rsidDel="00000000" w:rsidP="00000000" w:rsidRDefault="00000000" w:rsidRPr="00000000" w14:paraId="00000052">
      <w:pPr>
        <w:rPr/>
      </w:pPr>
      <w:r w:rsidDel="00000000" w:rsidR="00000000" w:rsidRPr="00000000">
        <w:rPr>
          <w:rtl w:val="0"/>
        </w:rPr>
        <w:t xml:space="preserve">A line chart consists of segments that connect at the close price for each time period. The line is a single color. Any value in your data that has a null value for close will result in a gap within the line.</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Pr>
        <w:drawing>
          <wp:inline distB="0" distT="0" distL="114300" distR="114300">
            <wp:extent cx="4321810" cy="2497455"/>
            <wp:effectExtent b="0" l="0" r="0" t="0"/>
            <wp:docPr id="335"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4321810" cy="2497455"/>
                    </a:xfrm>
                    <a:prstGeom prst="rect"/>
                    <a:ln/>
                  </pic:spPr>
                </pic:pic>
              </a:graphicData>
            </a:graphic>
          </wp:inline>
        </w:drawing>
      </w:r>
      <w:r w:rsidDel="00000000" w:rsidR="00000000" w:rsidRPr="00000000">
        <w:rPr>
          <w:color w:val="000000"/>
          <w:rtl w:val="0"/>
        </w:rPr>
        <w:br w:type="textWrapping"/>
      </w:r>
    </w:p>
    <w:p w:rsidR="00000000" w:rsidDel="00000000" w:rsidP="00000000" w:rsidRDefault="00000000" w:rsidRPr="00000000" w14:paraId="00000054">
      <w:pPr>
        <w:pStyle w:val="Heading2"/>
        <w:rPr/>
      </w:pPr>
      <w:bookmarkStart w:colFirst="0" w:colLast="0" w:name="_heading=h.1egqt2p" w:id="10"/>
      <w:bookmarkEnd w:id="10"/>
      <w:r w:rsidDel="00000000" w:rsidR="00000000" w:rsidRPr="00000000">
        <w:rPr>
          <w:rtl w:val="0"/>
        </w:rPr>
        <w:t xml:space="preserve">Colored line</w:t>
      </w:r>
    </w:p>
    <w:p w:rsidR="00000000" w:rsidDel="00000000" w:rsidP="00000000" w:rsidRDefault="00000000" w:rsidRPr="00000000" w14:paraId="00000055">
      <w:pPr>
        <w:keepNext w:val="1"/>
        <w:keepLines w:val="1"/>
        <w:rPr/>
      </w:pPr>
      <w:r w:rsidDel="00000000" w:rsidR="00000000" w:rsidRPr="00000000">
        <w:rPr>
          <w:rtl w:val="0"/>
        </w:rPr>
        <w:t xml:space="preserve">Like the line chart, the colored line is a line chart with segments of various colors. Each color indicates a price action. If the close for a period is higher than that of the previous close, the line between the periods is shaded green. If the close is lower than the previous close, the line between the periods is shaded red. If the close was equal to the previous close, the line between the periods is shaded gray. (The image below uses a step line drawing style.)</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Pr>
        <w:drawing>
          <wp:inline distB="0" distT="0" distL="0" distR="0">
            <wp:extent cx="4343043" cy="2225117"/>
            <wp:effectExtent b="0" l="0" r="0" t="0"/>
            <wp:docPr id="338" name="image22.png"/>
            <a:graphic>
              <a:graphicData uri="http://schemas.openxmlformats.org/drawingml/2006/picture">
                <pic:pic>
                  <pic:nvPicPr>
                    <pic:cNvPr id="0" name="image22.png"/>
                    <pic:cNvPicPr preferRelativeResize="0"/>
                  </pic:nvPicPr>
                  <pic:blipFill>
                    <a:blip r:embed="rId19"/>
                    <a:srcRect b="0" l="0" r="0" t="0"/>
                    <a:stretch>
                      <a:fillRect/>
                    </a:stretch>
                  </pic:blipFill>
                  <pic:spPr>
                    <a:xfrm>
                      <a:off x="0" y="0"/>
                      <a:ext cx="4343043" cy="2225117"/>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pStyle w:val="Heading2"/>
        <w:rPr/>
      </w:pPr>
      <w:bookmarkStart w:colFirst="0" w:colLast="0" w:name="_heading=h.3ygebqi" w:id="11"/>
      <w:bookmarkEnd w:id="11"/>
      <w:r w:rsidDel="00000000" w:rsidR="00000000" w:rsidRPr="00000000">
        <w:rPr>
          <w:rtl w:val="0"/>
        </w:rPr>
        <w:t xml:space="preserve">Bar</w:t>
      </w:r>
    </w:p>
    <w:p w:rsidR="00000000" w:rsidDel="00000000" w:rsidP="00000000" w:rsidRDefault="00000000" w:rsidRPr="00000000" w14:paraId="00000058">
      <w:pPr>
        <w:rPr/>
      </w:pPr>
      <w:r w:rsidDel="00000000" w:rsidR="00000000" w:rsidRPr="00000000">
        <w:rPr>
          <w:rtl w:val="0"/>
        </w:rPr>
        <w:t xml:space="preserve">Bar charts consist of vertical lines sandwiched between two shelves. One bar is created for each interval (period) on the chart. Each bar represents the OHLC (open, high, low, close) for the period. The top and bottom of the vertical line represent the high and low for the period. The left shelf is the opening price while the right shelf is the closing price. The bars are a single color.</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Pr>
        <w:drawing>
          <wp:inline distB="0" distT="0" distL="0" distR="0">
            <wp:extent cx="4348457" cy="2517088"/>
            <wp:effectExtent b="0" l="0" r="0" t="0"/>
            <wp:docPr id="337" name="image20.png"/>
            <a:graphic>
              <a:graphicData uri="http://schemas.openxmlformats.org/drawingml/2006/picture">
                <pic:pic>
                  <pic:nvPicPr>
                    <pic:cNvPr id="0" name="image20.png"/>
                    <pic:cNvPicPr preferRelativeResize="0"/>
                  </pic:nvPicPr>
                  <pic:blipFill>
                    <a:blip r:embed="rId20"/>
                    <a:srcRect b="196" l="0" r="0" t="196"/>
                    <a:stretch>
                      <a:fillRect/>
                    </a:stretch>
                  </pic:blipFill>
                  <pic:spPr>
                    <a:xfrm>
                      <a:off x="0" y="0"/>
                      <a:ext cx="4348457" cy="2517088"/>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pStyle w:val="Heading2"/>
        <w:rPr/>
      </w:pPr>
      <w:bookmarkStart w:colFirst="0" w:colLast="0" w:name="_heading=h.2dlolyb" w:id="12"/>
      <w:bookmarkEnd w:id="12"/>
      <w:r w:rsidDel="00000000" w:rsidR="00000000" w:rsidRPr="00000000">
        <w:rPr>
          <w:rtl w:val="0"/>
        </w:rPr>
        <w:t xml:space="preserve">Colored bar</w:t>
      </w:r>
    </w:p>
    <w:p w:rsidR="00000000" w:rsidDel="00000000" w:rsidP="00000000" w:rsidRDefault="00000000" w:rsidRPr="00000000" w14:paraId="0000005B">
      <w:pPr>
        <w:rPr/>
      </w:pPr>
      <w:r w:rsidDel="00000000" w:rsidR="00000000" w:rsidRPr="00000000">
        <w:rPr>
          <w:rtl w:val="0"/>
        </w:rPr>
        <w:t xml:space="preserve">A colored bar chart draws a bar chart with the bars colored to indicate price action. The algorithm is the same as colored line (see below).</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Pr>
        <w:drawing>
          <wp:inline distB="0" distT="0" distL="0" distR="0">
            <wp:extent cx="4355110" cy="2534897"/>
            <wp:effectExtent b="0" l="0" r="0" t="0"/>
            <wp:docPr id="341" name="image25.png"/>
            <a:graphic>
              <a:graphicData uri="http://schemas.openxmlformats.org/drawingml/2006/picture">
                <pic:pic>
                  <pic:nvPicPr>
                    <pic:cNvPr id="0" name="image25.png"/>
                    <pic:cNvPicPr preferRelativeResize="0"/>
                  </pic:nvPicPr>
                  <pic:blipFill>
                    <a:blip r:embed="rId21"/>
                    <a:srcRect b="0" l="0" r="0" t="0"/>
                    <a:stretch>
                      <a:fillRect/>
                    </a:stretch>
                  </pic:blipFill>
                  <pic:spPr>
                    <a:xfrm>
                      <a:off x="0" y="0"/>
                      <a:ext cx="4355110" cy="2534897"/>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pStyle w:val="Heading2"/>
        <w:rPr/>
      </w:pPr>
      <w:bookmarkStart w:colFirst="0" w:colLast="0" w:name="_heading=h.sqyw64" w:id="13"/>
      <w:bookmarkEnd w:id="13"/>
      <w:r w:rsidDel="00000000" w:rsidR="00000000" w:rsidRPr="00000000">
        <w:rPr>
          <w:rtl w:val="0"/>
        </w:rPr>
        <w:t xml:space="preserve">Candle</w:t>
      </w:r>
    </w:p>
    <w:p w:rsidR="00000000" w:rsidDel="00000000" w:rsidP="00000000" w:rsidRDefault="00000000" w:rsidRPr="00000000" w14:paraId="0000005E">
      <w:pPr>
        <w:rPr/>
      </w:pPr>
      <w:r w:rsidDel="00000000" w:rsidR="00000000" w:rsidRPr="00000000">
        <w:rPr>
          <w:rtl w:val="0"/>
        </w:rPr>
        <w:t xml:space="preserve">Like bar charts, candle charts represent OHLC, except in the form of colored rectangles called candles. When the open is lower than the close, the candle is shaded green. When the open is higher than the close, the candle is shaded red. If the open and close are the same, a thin horizontal line segment is drawn at that price (this type of candle is called a “doji”). Each candle has a “wick” that extends above and below the candle to indicate the high and low, respectively.</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Pr>
        <w:drawing>
          <wp:inline distB="0" distT="0" distL="0" distR="0">
            <wp:extent cx="4252056" cy="2475823"/>
            <wp:effectExtent b="0" l="0" r="0" t="0"/>
            <wp:docPr id="339" name="image29.png"/>
            <a:graphic>
              <a:graphicData uri="http://schemas.openxmlformats.org/drawingml/2006/picture">
                <pic:pic>
                  <pic:nvPicPr>
                    <pic:cNvPr id="0" name="image29.png"/>
                    <pic:cNvPicPr preferRelativeResize="0"/>
                  </pic:nvPicPr>
                  <pic:blipFill>
                    <a:blip r:embed="rId22"/>
                    <a:srcRect b="0" l="0" r="0" t="0"/>
                    <a:stretch>
                      <a:fillRect/>
                    </a:stretch>
                  </pic:blipFill>
                  <pic:spPr>
                    <a:xfrm>
                      <a:off x="0" y="0"/>
                      <a:ext cx="4252056" cy="2475823"/>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pStyle w:val="Heading2"/>
        <w:rPr/>
      </w:pPr>
      <w:bookmarkStart w:colFirst="0" w:colLast="0" w:name="_heading=h.3cqmetx" w:id="14"/>
      <w:bookmarkEnd w:id="14"/>
      <w:r w:rsidDel="00000000" w:rsidR="00000000" w:rsidRPr="00000000">
        <w:rPr>
          <w:rtl w:val="0"/>
        </w:rPr>
        <w:t xml:space="preserve">Hollow candle</w:t>
      </w:r>
    </w:p>
    <w:p w:rsidR="00000000" w:rsidDel="00000000" w:rsidP="00000000" w:rsidRDefault="00000000" w:rsidRPr="00000000" w14:paraId="00000061">
      <w:pPr>
        <w:rPr/>
      </w:pPr>
      <w:r w:rsidDel="00000000" w:rsidR="00000000" w:rsidRPr="00000000">
        <w:rPr>
          <w:rtl w:val="0"/>
        </w:rPr>
        <w:t xml:space="preserve">Hollow candle charts are a special type of candle chart that displays additional information and changes the meaning of the colors. In a hollow candle chart, a green candle occurs when the closing price is higher than the prior bar’s closing price. It is red when the closing price is lower than the prior bar’s closing price.</w:t>
      </w:r>
    </w:p>
    <w:p w:rsidR="00000000" w:rsidDel="00000000" w:rsidP="00000000" w:rsidRDefault="00000000" w:rsidRPr="00000000" w14:paraId="00000062">
      <w:pPr>
        <w:rPr/>
      </w:pPr>
      <w:r w:rsidDel="00000000" w:rsidR="00000000" w:rsidRPr="00000000">
        <w:rPr>
          <w:rtl w:val="0"/>
        </w:rPr>
        <w:t xml:space="preserve">The candles are either filled or hollow based on the price action within the candle. Hollow candles are drawn when the close is higher than the open (upward intra-session price action). The candle is filled when the close is lower than the open (downward intra-session price action). If the close is the same as the open, only a gray horizontal line is drawn.</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Pr>
        <w:drawing>
          <wp:inline distB="0" distT="0" distL="0" distR="0">
            <wp:extent cx="4250722" cy="2483675"/>
            <wp:effectExtent b="0" l="0" r="0" t="0"/>
            <wp:docPr id="340" name="image21.png"/>
            <a:graphic>
              <a:graphicData uri="http://schemas.openxmlformats.org/drawingml/2006/picture">
                <pic:pic>
                  <pic:nvPicPr>
                    <pic:cNvPr id="0" name="image21.png"/>
                    <pic:cNvPicPr preferRelativeResize="0"/>
                  </pic:nvPicPr>
                  <pic:blipFill>
                    <a:blip r:embed="rId23"/>
                    <a:srcRect b="0" l="0" r="0" t="0"/>
                    <a:stretch>
                      <a:fillRect/>
                    </a:stretch>
                  </pic:blipFill>
                  <pic:spPr>
                    <a:xfrm>
                      <a:off x="0" y="0"/>
                      <a:ext cx="4250722" cy="2483675"/>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pStyle w:val="Heading2"/>
        <w:rPr/>
      </w:pPr>
      <w:bookmarkStart w:colFirst="0" w:colLast="0" w:name="_heading=h.1rvwp1q" w:id="15"/>
      <w:bookmarkEnd w:id="15"/>
      <w:r w:rsidDel="00000000" w:rsidR="00000000" w:rsidRPr="00000000">
        <w:rPr>
          <w:rtl w:val="0"/>
        </w:rPr>
        <w:t xml:space="preserve">Volume candle</w:t>
      </w:r>
    </w:p>
    <w:p w:rsidR="00000000" w:rsidDel="00000000" w:rsidP="00000000" w:rsidRDefault="00000000" w:rsidRPr="00000000" w14:paraId="00000066">
      <w:pPr>
        <w:keepNext w:val="1"/>
        <w:rPr/>
      </w:pPr>
      <w:r w:rsidDel="00000000" w:rsidR="00000000" w:rsidRPr="00000000">
        <w:rPr>
          <w:rtl w:val="0"/>
        </w:rPr>
        <w:t xml:space="preserve">A volume candle chart is a hollow candle chart where the width of a candle varies to indicate volume. Each candle’s shading and fill follow the same conventions as those in hollow candle charts. Wide candles indicate high volume while narrow candles indicate low volume.</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Pr>
        <w:drawing>
          <wp:inline distB="0" distT="0" distL="0" distR="0">
            <wp:extent cx="4234253" cy="2445100"/>
            <wp:effectExtent b="0" l="0" r="0" t="0"/>
            <wp:docPr id="342" name="image24.png"/>
            <a:graphic>
              <a:graphicData uri="http://schemas.openxmlformats.org/drawingml/2006/picture">
                <pic:pic>
                  <pic:nvPicPr>
                    <pic:cNvPr id="0" name="image24.png"/>
                    <pic:cNvPicPr preferRelativeResize="0"/>
                  </pic:nvPicPr>
                  <pic:blipFill>
                    <a:blip r:embed="rId24"/>
                    <a:srcRect b="0" l="0" r="0" t="0"/>
                    <a:stretch>
                      <a:fillRect/>
                    </a:stretch>
                  </pic:blipFill>
                  <pic:spPr>
                    <a:xfrm>
                      <a:off x="0" y="0"/>
                      <a:ext cx="4234253" cy="24451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pStyle w:val="Heading2"/>
        <w:rPr/>
      </w:pPr>
      <w:bookmarkStart w:colFirst="0" w:colLast="0" w:name="_heading=h.4bvk7pj" w:id="16"/>
      <w:bookmarkEnd w:id="16"/>
      <w:r w:rsidDel="00000000" w:rsidR="00000000" w:rsidRPr="00000000">
        <w:rPr>
          <w:rtl w:val="0"/>
        </w:rPr>
        <w:t xml:space="preserve">Mountain</w:t>
      </w:r>
    </w:p>
    <w:p w:rsidR="00000000" w:rsidDel="00000000" w:rsidP="00000000" w:rsidRDefault="00000000" w:rsidRPr="00000000" w14:paraId="00000069">
      <w:pPr>
        <w:rPr/>
      </w:pPr>
      <w:r w:rsidDel="00000000" w:rsidR="00000000" w:rsidRPr="00000000">
        <w:rPr>
          <w:rtl w:val="0"/>
        </w:rPr>
        <w:t xml:space="preserve">Mountain charts (sometimes called area charts) are line charts with a shaded section that extends to the bottom of the chart. The result is a chart which looks like a mountain.</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Pr>
        <w:drawing>
          <wp:inline distB="0" distT="0" distL="0" distR="0">
            <wp:extent cx="4227237" cy="2453694"/>
            <wp:effectExtent b="0" l="0" r="0" t="0"/>
            <wp:docPr id="343" name="image30.png"/>
            <a:graphic>
              <a:graphicData uri="http://schemas.openxmlformats.org/drawingml/2006/picture">
                <pic:pic>
                  <pic:nvPicPr>
                    <pic:cNvPr id="0" name="image30.png"/>
                    <pic:cNvPicPr preferRelativeResize="0"/>
                  </pic:nvPicPr>
                  <pic:blipFill>
                    <a:blip r:embed="rId25"/>
                    <a:srcRect b="0" l="0" r="0" t="0"/>
                    <a:stretch>
                      <a:fillRect/>
                    </a:stretch>
                  </pic:blipFill>
                  <pic:spPr>
                    <a:xfrm>
                      <a:off x="0" y="0"/>
                      <a:ext cx="4227237" cy="2453694"/>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pStyle w:val="Heading2"/>
        <w:rPr/>
      </w:pPr>
      <w:bookmarkStart w:colFirst="0" w:colLast="0" w:name="_heading=h.2r0uhxc" w:id="17"/>
      <w:bookmarkEnd w:id="17"/>
      <w:r w:rsidDel="00000000" w:rsidR="00000000" w:rsidRPr="00000000">
        <w:rPr>
          <w:rtl w:val="0"/>
        </w:rPr>
        <w:t xml:space="preserve">Baseline delta</w:t>
      </w:r>
    </w:p>
    <w:p w:rsidR="00000000" w:rsidDel="00000000" w:rsidP="00000000" w:rsidRDefault="00000000" w:rsidRPr="00000000" w14:paraId="0000006C">
      <w:pPr>
        <w:rPr/>
      </w:pPr>
      <w:r w:rsidDel="00000000" w:rsidR="00000000" w:rsidRPr="00000000">
        <w:rPr>
          <w:rtl w:val="0"/>
        </w:rPr>
        <w:t xml:space="preserve">A baseline delta chart draws a line chart that oscillates across a dotted baseline. The area above the baseline is shaded green, and the area below the baseline is shaded red. The baseline initializes to the left most closing value on the chart but can be adjusted by dragging the handle located on the right side of the chart. This chart style is meant to highlight the positive and negative distance from the set baseline. It is typically used for intraday charts where the left side (baseline) is set to the opening of the market day.</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Rule="auto"/>
        <w:rPr>
          <w:color w:val="000000"/>
        </w:rPr>
      </w:pPr>
      <w:bookmarkStart w:colFirst="0" w:colLast="0" w:name="_heading=h.z337ya" w:id="18"/>
      <w:bookmarkEnd w:id="18"/>
      <w:r w:rsidDel="00000000" w:rsidR="00000000" w:rsidRPr="00000000">
        <w:rPr>
          <w:color w:val="000000"/>
        </w:rPr>
        <w:drawing>
          <wp:inline distB="0" distT="0" distL="0" distR="0">
            <wp:extent cx="4272980" cy="2491659"/>
            <wp:effectExtent b="0" l="0" r="0" t="0"/>
            <wp:docPr id="344" name="image32.png"/>
            <a:graphic>
              <a:graphicData uri="http://schemas.openxmlformats.org/drawingml/2006/picture">
                <pic:pic>
                  <pic:nvPicPr>
                    <pic:cNvPr id="0" name="image32.png"/>
                    <pic:cNvPicPr preferRelativeResize="0"/>
                  </pic:nvPicPr>
                  <pic:blipFill>
                    <a:blip r:embed="rId26"/>
                    <a:srcRect b="0" l="0" r="0" t="0"/>
                    <a:stretch>
                      <a:fillRect/>
                    </a:stretch>
                  </pic:blipFill>
                  <pic:spPr>
                    <a:xfrm>
                      <a:off x="0" y="0"/>
                      <a:ext cx="4272980" cy="2491659"/>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pStyle w:val="Heading2"/>
        <w:rPr/>
      </w:pPr>
      <w:bookmarkStart w:colFirst="0" w:colLast="0" w:name="_heading=h.1664s55" w:id="19"/>
      <w:bookmarkEnd w:id="19"/>
      <w:r w:rsidDel="00000000" w:rsidR="00000000" w:rsidRPr="00000000">
        <w:rPr>
          <w:rtl w:val="0"/>
        </w:rPr>
        <w:t xml:space="preserve">Time series scatter</w:t>
      </w:r>
    </w:p>
    <w:p w:rsidR="00000000" w:rsidDel="00000000" w:rsidP="00000000" w:rsidRDefault="00000000" w:rsidRPr="00000000" w14:paraId="0000006F">
      <w:pPr>
        <w:keepNext w:val="1"/>
        <w:rPr/>
      </w:pPr>
      <w:r w:rsidDel="00000000" w:rsidR="00000000" w:rsidRPr="00000000">
        <w:rPr>
          <w:rtl w:val="0"/>
        </w:rPr>
        <w:t xml:space="preserve">The time series scatter chart draws a single dot at every closing value for each time period and does not connect them.</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Rule="auto"/>
        <w:rPr>
          <w:color w:val="000000"/>
        </w:rPr>
      </w:pPr>
      <w:bookmarkStart w:colFirst="0" w:colLast="0" w:name="_heading=h.1y810tw" w:id="20"/>
      <w:bookmarkEnd w:id="20"/>
      <w:r w:rsidDel="00000000" w:rsidR="00000000" w:rsidRPr="00000000">
        <w:rPr>
          <w:color w:val="000000"/>
        </w:rPr>
        <w:drawing>
          <wp:inline distB="114300" distT="114300" distL="114300" distR="114300">
            <wp:extent cx="4421459" cy="2614613"/>
            <wp:effectExtent b="0" l="0" r="0" t="0"/>
            <wp:docPr id="345" name="image28.png"/>
            <a:graphic>
              <a:graphicData uri="http://schemas.openxmlformats.org/drawingml/2006/picture">
                <pic:pic>
                  <pic:nvPicPr>
                    <pic:cNvPr id="0" name="image28.png"/>
                    <pic:cNvPicPr preferRelativeResize="0"/>
                  </pic:nvPicPr>
                  <pic:blipFill>
                    <a:blip r:embed="rId27"/>
                    <a:srcRect b="0" l="0" r="0" t="0"/>
                    <a:stretch>
                      <a:fillRect/>
                    </a:stretch>
                  </pic:blipFill>
                  <pic:spPr>
                    <a:xfrm>
                      <a:off x="0" y="0"/>
                      <a:ext cx="4421459" cy="2614613"/>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pStyle w:val="Heading2"/>
        <w:rPr/>
      </w:pPr>
      <w:bookmarkStart w:colFirst="0" w:colLast="0" w:name="_heading=h.3q5sasy" w:id="21"/>
      <w:bookmarkEnd w:id="21"/>
      <w:r w:rsidDel="00000000" w:rsidR="00000000" w:rsidRPr="00000000">
        <w:rPr>
          <w:rtl w:val="0"/>
        </w:rPr>
        <w:t xml:space="preserve">HLC box chart</w:t>
      </w:r>
    </w:p>
    <w:p w:rsidR="00000000" w:rsidDel="00000000" w:rsidP="00000000" w:rsidRDefault="00000000" w:rsidRPr="00000000" w14:paraId="00000072">
      <w:pPr>
        <w:keepNext w:val="1"/>
        <w:keepLines w:val="1"/>
        <w:rPr/>
      </w:pPr>
      <w:r w:rsidDel="00000000" w:rsidR="00000000" w:rsidRPr="00000000">
        <w:rPr>
          <w:rtl w:val="0"/>
        </w:rPr>
        <w:t xml:space="preserve">HLC box charts appear as a colored box with a line showing the close. The high price is the top of the box and the low is the bottom of the box. The intent of the HLC box design is to emphasize where the close is relative to high-low range. ChartIQ offers the ability to use different colors between the high-close and the close-low. </w:t>
      </w:r>
    </w:p>
    <w:p w:rsidR="00000000" w:rsidDel="00000000" w:rsidP="00000000" w:rsidRDefault="00000000" w:rsidRPr="00000000" w14:paraId="00000073">
      <w:pPr>
        <w:keepNext w:val="1"/>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Pr>
        <w:drawing>
          <wp:inline distB="0" distT="0" distL="0" distR="0">
            <wp:extent cx="4409442" cy="2575247"/>
            <wp:effectExtent b="0" l="0" r="0" t="0"/>
            <wp:docPr id="346" name="image27.png"/>
            <a:graphic>
              <a:graphicData uri="http://schemas.openxmlformats.org/drawingml/2006/picture">
                <pic:pic>
                  <pic:nvPicPr>
                    <pic:cNvPr id="0" name="image27.png"/>
                    <pic:cNvPicPr preferRelativeResize="0"/>
                  </pic:nvPicPr>
                  <pic:blipFill>
                    <a:blip r:embed="rId28"/>
                    <a:srcRect b="0" l="0" r="0" t="0"/>
                    <a:stretch>
                      <a:fillRect/>
                    </a:stretch>
                  </pic:blipFill>
                  <pic:spPr>
                    <a:xfrm>
                      <a:off x="0" y="0"/>
                      <a:ext cx="4409442" cy="2575247"/>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keepNext w:val="1"/>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Pr>
        <w:drawing>
          <wp:inline distB="0" distT="0" distL="0" distR="0">
            <wp:extent cx="4407184" cy="2550090"/>
            <wp:effectExtent b="0" l="0" r="0" t="0"/>
            <wp:docPr id="347" name="image33.png"/>
            <a:graphic>
              <a:graphicData uri="http://schemas.openxmlformats.org/drawingml/2006/picture">
                <pic:pic>
                  <pic:nvPicPr>
                    <pic:cNvPr id="0" name="image33.png"/>
                    <pic:cNvPicPr preferRelativeResize="0"/>
                  </pic:nvPicPr>
                  <pic:blipFill>
                    <a:blip r:embed="rId29"/>
                    <a:srcRect b="0" l="0" r="0" t="0"/>
                    <a:stretch>
                      <a:fillRect/>
                    </a:stretch>
                  </pic:blipFill>
                  <pic:spPr>
                    <a:xfrm>
                      <a:off x="0" y="0"/>
                      <a:ext cx="4407184" cy="255009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pStyle w:val="Heading1"/>
        <w:rPr>
          <w:i w:val="1"/>
        </w:rPr>
      </w:pPr>
      <w:bookmarkStart w:colFirst="0" w:colLast="0" w:name="_heading=h.25b2l0r" w:id="22"/>
      <w:bookmarkEnd w:id="22"/>
      <w:r w:rsidDel="00000000" w:rsidR="00000000" w:rsidRPr="00000000">
        <w:rPr>
          <w:rtl w:val="0"/>
        </w:rPr>
        <w:t xml:space="preserve">Chart Types</w:t>
      </w:r>
      <w:r w:rsidDel="00000000" w:rsidR="00000000" w:rsidRPr="00000000">
        <w:rPr>
          <w:rtl w:val="0"/>
        </w:rPr>
      </w:r>
    </w:p>
    <w:p w:rsidR="00000000" w:rsidDel="00000000" w:rsidP="00000000" w:rsidRDefault="00000000" w:rsidRPr="00000000" w14:paraId="00000077">
      <w:pPr>
        <w:keepLines w:val="1"/>
        <w:rPr/>
      </w:pPr>
      <w:r w:rsidDel="00000000" w:rsidR="00000000" w:rsidRPr="00000000">
        <w:rPr>
          <w:rtl w:val="0"/>
        </w:rPr>
        <w:t xml:space="preserve">Chart types offer alternative ways of viewing open-high-low-close (OHLC) data. Each chart type either aggregates data or applies a formula that transforms the data. Some charts are time independent, meaning that a single bar may encompass multiple bars of price movement, resulting in an x-axis that is not linear.</w:t>
      </w:r>
    </w:p>
    <w:p w:rsidR="00000000" w:rsidDel="00000000" w:rsidP="00000000" w:rsidRDefault="00000000" w:rsidRPr="00000000" w14:paraId="00000078">
      <w:pPr>
        <w:pStyle w:val="Heading2"/>
        <w:spacing w:after="200" w:lineRule="auto"/>
        <w:rPr/>
      </w:pPr>
      <w:bookmarkStart w:colFirst="0" w:colLast="0" w:name="_heading=h.kgcv8k" w:id="23"/>
      <w:bookmarkEnd w:id="23"/>
      <w:r w:rsidDel="00000000" w:rsidR="00000000" w:rsidRPr="00000000">
        <w:rPr>
          <w:rtl w:val="0"/>
        </w:rPr>
        <w:t xml:space="preserve">Customizing chart types</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120" w:lineRule="auto"/>
        <w:rPr>
          <w:color w:val="000000"/>
          <w:shd w:fill="fefefe" w:val="clear"/>
        </w:rPr>
      </w:pPr>
      <w:r w:rsidDel="00000000" w:rsidR="00000000" w:rsidRPr="00000000">
        <w:rPr>
          <w:color w:val="000000"/>
          <w:shd w:fill="fefefe" w:val="clear"/>
          <w:rtl w:val="0"/>
        </w:rPr>
        <w:t xml:space="preserve">Most chart types can be customized. To customize a chart type:</w:t>
      </w:r>
    </w:p>
    <w:p w:rsidR="00000000" w:rsidDel="00000000" w:rsidP="00000000" w:rsidRDefault="00000000" w:rsidRPr="00000000" w14:paraId="0000007A">
      <w:pPr>
        <w:keepNext w:val="1"/>
        <w:numPr>
          <w:ilvl w:val="0"/>
          <w:numId w:val="1"/>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Open the </w:t>
      </w:r>
      <w:r w:rsidDel="00000000" w:rsidR="00000000" w:rsidRPr="00000000">
        <w:rPr>
          <w:b w:val="1"/>
          <w:color w:val="000000"/>
          <w:rtl w:val="0"/>
        </w:rPr>
        <w:t xml:space="preserve">Display</w:t>
      </w:r>
      <w:r w:rsidDel="00000000" w:rsidR="00000000" w:rsidRPr="00000000">
        <w:rPr>
          <w:color w:val="000000"/>
          <w:rtl w:val="0"/>
        </w:rPr>
        <w:t xml:space="preserve"> menu.</w:t>
      </w:r>
      <w:r w:rsidDel="00000000" w:rsidR="00000000" w:rsidRPr="00000000">
        <w:rPr>
          <w:rtl w:val="0"/>
        </w:rPr>
      </w:r>
    </w:p>
    <w:p w:rsidR="00000000" w:rsidDel="00000000" w:rsidP="00000000" w:rsidRDefault="00000000" w:rsidRPr="00000000" w14:paraId="0000007B">
      <w:pPr>
        <w:keepNext w:val="1"/>
        <w:numPr>
          <w:ilvl w:val="0"/>
          <w:numId w:val="1"/>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Select the gear icon next to the chart type.</w:t>
      </w:r>
      <w:r w:rsidDel="00000000" w:rsidR="00000000" w:rsidRPr="00000000">
        <w:rPr>
          <w:rtl w:val="0"/>
        </w:rPr>
      </w:r>
    </w:p>
    <w:p w:rsidR="00000000" w:rsidDel="00000000" w:rsidP="00000000" w:rsidRDefault="00000000" w:rsidRPr="00000000" w14:paraId="0000007C">
      <w:pPr>
        <w:numPr>
          <w:ilvl w:val="0"/>
          <w:numId w:val="1"/>
        </w:numPr>
        <w:pBdr>
          <w:top w:space="0" w:sz="0" w:val="nil"/>
          <w:left w:space="0" w:sz="0" w:val="nil"/>
          <w:bottom w:space="0" w:sz="0" w:val="nil"/>
          <w:right w:space="0" w:sz="0" w:val="nil"/>
          <w:between w:space="0" w:sz="0" w:val="nil"/>
        </w:pBdr>
        <w:ind w:left="360" w:hanging="360"/>
        <w:rPr/>
      </w:pPr>
      <w:r w:rsidDel="00000000" w:rsidR="00000000" w:rsidRPr="00000000">
        <w:rPr>
          <w:color w:val="000000"/>
          <w:rtl w:val="0"/>
        </w:rPr>
        <w:t xml:space="preserve">Enter values in the dialog box that appears. For example, for Kagi charts:</w:t>
      </w:r>
      <w:r w:rsidDel="00000000" w:rsidR="00000000" w:rsidRPr="00000000">
        <w:rPr>
          <w:rtl w:val="0"/>
        </w:rPr>
      </w:r>
    </w:p>
    <w:p w:rsidR="00000000" w:rsidDel="00000000" w:rsidP="00000000" w:rsidRDefault="00000000" w:rsidRPr="00000000" w14:paraId="0000007D">
      <w:pPr>
        <w:ind w:left="360" w:firstLine="0"/>
        <w:rPr/>
      </w:pPr>
      <w:r w:rsidDel="00000000" w:rsidR="00000000" w:rsidRPr="00000000">
        <w:rPr/>
        <w:drawing>
          <wp:inline distB="114300" distT="114300" distL="114300" distR="114300">
            <wp:extent cx="2205038" cy="1686759"/>
            <wp:effectExtent b="0" l="0" r="0" t="0"/>
            <wp:docPr id="348" name="image26.png"/>
            <a:graphic>
              <a:graphicData uri="http://schemas.openxmlformats.org/drawingml/2006/picture">
                <pic:pic>
                  <pic:nvPicPr>
                    <pic:cNvPr id="0" name="image26.png"/>
                    <pic:cNvPicPr preferRelativeResize="0"/>
                  </pic:nvPicPr>
                  <pic:blipFill>
                    <a:blip r:embed="rId30"/>
                    <a:srcRect b="0" l="0" r="0" t="0"/>
                    <a:stretch>
                      <a:fillRect/>
                    </a:stretch>
                  </pic:blipFill>
                  <pic:spPr>
                    <a:xfrm>
                      <a:off x="0" y="0"/>
                      <a:ext cx="2205038" cy="1686759"/>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ind w:left="360" w:firstLine="0"/>
        <w:rPr/>
      </w:pPr>
      <w:r w:rsidDel="00000000" w:rsidR="00000000" w:rsidRPr="00000000">
        <w:rPr>
          <w:rtl w:val="0"/>
        </w:rPr>
        <w:t xml:space="preserve">Select the </w:t>
      </w:r>
      <w:r w:rsidDel="00000000" w:rsidR="00000000" w:rsidRPr="00000000">
        <w:rPr>
          <w:b w:val="1"/>
          <w:rtl w:val="0"/>
        </w:rPr>
        <w:t xml:space="preserve">AUTO SELECT</w:t>
      </w:r>
      <w:r w:rsidDel="00000000" w:rsidR="00000000" w:rsidRPr="00000000">
        <w:rPr>
          <w:rtl w:val="0"/>
        </w:rPr>
        <w:t xml:space="preserve"> button to let the chart determine the setting.</w:t>
      </w:r>
    </w:p>
    <w:p w:rsidR="00000000" w:rsidDel="00000000" w:rsidP="00000000" w:rsidRDefault="00000000" w:rsidRPr="00000000" w14:paraId="0000007F">
      <w:pPr>
        <w:pStyle w:val="Heading2"/>
        <w:rPr/>
      </w:pPr>
      <w:bookmarkStart w:colFirst="0" w:colLast="0" w:name="_heading=h.34g0dwd" w:id="24"/>
      <w:bookmarkEnd w:id="24"/>
      <w:r w:rsidDel="00000000" w:rsidR="00000000" w:rsidRPr="00000000">
        <w:rPr>
          <w:rtl w:val="0"/>
        </w:rPr>
        <w:t xml:space="preserve">Heikin-Ashi</w:t>
      </w:r>
    </w:p>
    <w:p w:rsidR="00000000" w:rsidDel="00000000" w:rsidP="00000000" w:rsidRDefault="00000000" w:rsidRPr="00000000" w14:paraId="00000080">
      <w:pPr>
        <w:keepNext w:val="1"/>
        <w:pBdr>
          <w:top w:space="0" w:sz="0" w:val="nil"/>
          <w:left w:space="0" w:sz="0" w:val="nil"/>
          <w:bottom w:space="0" w:sz="0" w:val="nil"/>
          <w:right w:space="0" w:sz="0" w:val="nil"/>
          <w:between w:space="0" w:sz="0" w:val="nil"/>
        </w:pBdr>
        <w:spacing w:after="120" w:lineRule="auto"/>
        <w:rPr>
          <w:color w:val="000000"/>
          <w:shd w:fill="fefefe" w:val="clear"/>
        </w:rPr>
      </w:pPr>
      <w:r w:rsidDel="00000000" w:rsidR="00000000" w:rsidRPr="00000000">
        <w:rPr>
          <w:color w:val="000000"/>
          <w:shd w:fill="fefefe" w:val="clear"/>
          <w:rtl w:val="0"/>
        </w:rPr>
        <w:t xml:space="preserve">Heikin-Ashi charts are time series charts that resemble candle charts. In a normal candle chart, each candle is calculated independent of the other candles. However, in Heikin-Ashi charts, the candles appear to link together because of how their OHLC values are calculated:</w:t>
      </w:r>
    </w:p>
    <w:p w:rsidR="00000000" w:rsidDel="00000000" w:rsidP="00000000" w:rsidRDefault="00000000" w:rsidRPr="00000000" w14:paraId="00000081">
      <w:pPr>
        <w:keepNext w:val="1"/>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Open = the mean of the previous open and the previous close</w:t>
      </w:r>
      <w:r w:rsidDel="00000000" w:rsidR="00000000" w:rsidRPr="00000000">
        <w:rPr>
          <w:rtl w:val="0"/>
        </w:rPr>
      </w:r>
    </w:p>
    <w:p w:rsidR="00000000" w:rsidDel="00000000" w:rsidP="00000000" w:rsidRDefault="00000000" w:rsidRPr="00000000" w14:paraId="00000082">
      <w:pPr>
        <w:keepNext w:val="1"/>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High = the maximum of the current high, open, and close</w:t>
      </w:r>
      <w:r w:rsidDel="00000000" w:rsidR="00000000" w:rsidRPr="00000000">
        <w:rPr>
          <w:rtl w:val="0"/>
        </w:rPr>
      </w:r>
    </w:p>
    <w:p w:rsidR="00000000" w:rsidDel="00000000" w:rsidP="00000000" w:rsidRDefault="00000000" w:rsidRPr="00000000" w14:paraId="00000083">
      <w:pPr>
        <w:keepNext w:val="1"/>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Low = the minimum of the current low, open, and close</w:t>
      </w:r>
      <w:r w:rsidDel="00000000" w:rsidR="00000000" w:rsidRPr="00000000">
        <w:rPr>
          <w:rtl w:val="0"/>
        </w:rPr>
      </w:r>
    </w:p>
    <w:p w:rsidR="00000000" w:rsidDel="00000000" w:rsidP="00000000" w:rsidRDefault="00000000" w:rsidRPr="00000000" w14:paraId="00000084">
      <w:pPr>
        <w:numPr>
          <w:ilvl w:val="0"/>
          <w:numId w:val="3"/>
        </w:numPr>
        <w:pBdr>
          <w:top w:space="0" w:sz="0" w:val="nil"/>
          <w:left w:space="0" w:sz="0" w:val="nil"/>
          <w:bottom w:space="0" w:sz="0" w:val="nil"/>
          <w:right w:space="0" w:sz="0" w:val="nil"/>
          <w:between w:space="0" w:sz="0" w:val="nil"/>
        </w:pBdr>
        <w:ind w:left="360" w:hanging="360"/>
        <w:rPr/>
      </w:pPr>
      <w:r w:rsidDel="00000000" w:rsidR="00000000" w:rsidRPr="00000000">
        <w:rPr>
          <w:color w:val="000000"/>
          <w:rtl w:val="0"/>
        </w:rPr>
        <w:t xml:space="preserve">Close = the mean of the current open, close, high, and low</w:t>
      </w:r>
      <w:r w:rsidDel="00000000" w:rsidR="00000000" w:rsidRPr="00000000">
        <w:rPr>
          <w:rtl w:val="0"/>
        </w:rPr>
      </w:r>
    </w:p>
    <w:p w:rsidR="00000000" w:rsidDel="00000000" w:rsidP="00000000" w:rsidRDefault="00000000" w:rsidRPr="00000000" w14:paraId="00000085">
      <w:pPr>
        <w:keepNext w:val="1"/>
        <w:keepLines w:val="1"/>
        <w:rPr/>
      </w:pPr>
      <w:r w:rsidDel="00000000" w:rsidR="00000000" w:rsidRPr="00000000">
        <w:rPr>
          <w:rtl w:val="0"/>
        </w:rPr>
        <w:t xml:space="preserve">Upward trends are indicated by green candles with wicks on top, but almost no wick on bottom. Downward trends are indicated by red candles with wicks on the bottom and almost no wick on top. Reversal points are indicated by candles, red or green, with small bodies and wicks on top and bottom. This chart type can spot trends more clearly and easily than regular candle charts.</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Pr>
        <w:drawing>
          <wp:inline distB="0" distT="0" distL="0" distR="0">
            <wp:extent cx="4212588" cy="2452842"/>
            <wp:effectExtent b="0" l="0" r="0" t="0"/>
            <wp:docPr id="349" name="image31.png"/>
            <a:graphic>
              <a:graphicData uri="http://schemas.openxmlformats.org/drawingml/2006/picture">
                <pic:pic>
                  <pic:nvPicPr>
                    <pic:cNvPr id="0" name="image31.png"/>
                    <pic:cNvPicPr preferRelativeResize="0"/>
                  </pic:nvPicPr>
                  <pic:blipFill>
                    <a:blip r:embed="rId31"/>
                    <a:srcRect b="0" l="0" r="0" t="0"/>
                    <a:stretch>
                      <a:fillRect/>
                    </a:stretch>
                  </pic:blipFill>
                  <pic:spPr>
                    <a:xfrm>
                      <a:off x="0" y="0"/>
                      <a:ext cx="4212588" cy="2452842"/>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pStyle w:val="Heading2"/>
        <w:rPr/>
      </w:pPr>
      <w:bookmarkStart w:colFirst="0" w:colLast="0" w:name="_heading=h.1jlao46" w:id="25"/>
      <w:bookmarkEnd w:id="25"/>
      <w:r w:rsidDel="00000000" w:rsidR="00000000" w:rsidRPr="00000000">
        <w:rPr>
          <w:rtl w:val="0"/>
        </w:rPr>
        <w:t xml:space="preserve">Kagi</w:t>
      </w:r>
    </w:p>
    <w:p w:rsidR="00000000" w:rsidDel="00000000" w:rsidP="00000000" w:rsidRDefault="00000000" w:rsidRPr="00000000" w14:paraId="00000088">
      <w:pPr>
        <w:keepNext w:val="1"/>
        <w:keepLines w:val="1"/>
        <w:rPr/>
      </w:pPr>
      <w:r w:rsidDel="00000000" w:rsidR="00000000" w:rsidRPr="00000000">
        <w:rPr>
          <w:rtl w:val="0"/>
        </w:rPr>
        <w:t xml:space="preserve">Kagi charts appear as vertical bars connected by small horizontal segments at right angles. Kagi charts are independent of time; they progress forward based on price action. Thick green lines, called yang bars, indicate that a price has broken out above the previous yin’s high price. Thin red bars, called yin bars, indicate that the price has fallen below the previous yang’s low. Unlike the other chart types, the colors of kagi lines do not directly communicate upward or downward trends.</w:t>
      </w:r>
    </w:p>
    <w:p w:rsidR="00000000" w:rsidDel="00000000" w:rsidP="00000000" w:rsidRDefault="00000000" w:rsidRPr="00000000" w14:paraId="00000089">
      <w:pPr>
        <w:keepNext w:val="1"/>
        <w:keepLines w:val="1"/>
        <w:rPr/>
      </w:pPr>
      <w:r w:rsidDel="00000000" w:rsidR="00000000" w:rsidRPr="00000000">
        <w:rPr>
          <w:rtl w:val="0"/>
        </w:rPr>
        <w:t xml:space="preserve">Bars move upward or downward depending on closing prices. A bar will shift direction when a reversal limit is reached. Reversal limits are input by the user as a fixed percentage of the price. For example, imagine you have a stock valued at $10 and you are drawing a kagi chart with a reversal of 10%. Depending on what trend was established, a cumulative $1 movement in the opposite direction will break the current trend and cause a reversal.</w:t>
      </w:r>
    </w:p>
    <w:p w:rsidR="00000000" w:rsidDel="00000000" w:rsidP="00000000" w:rsidRDefault="00000000" w:rsidRPr="00000000" w14:paraId="0000008A">
      <w:pPr>
        <w:keepNext w:val="1"/>
        <w:rPr/>
      </w:pPr>
      <w:r w:rsidDel="00000000" w:rsidR="00000000" w:rsidRPr="00000000">
        <w:rPr>
          <w:rtl w:val="0"/>
        </w:rPr>
        <w:t xml:space="preserve">Kagi charts can be customized (see </w:t>
      </w:r>
      <w:hyperlink w:anchor="_heading=h.1ci93xb">
        <w:r w:rsidDel="00000000" w:rsidR="00000000" w:rsidRPr="00000000">
          <w:rPr>
            <w:color w:val="1155cc"/>
            <w:u w:val="single"/>
            <w:rtl w:val="0"/>
          </w:rPr>
          <w:t xml:space="preserve">Customizing chart types</w:t>
        </w:r>
      </w:hyperlink>
      <w:r w:rsidDel="00000000" w:rsidR="00000000" w:rsidRPr="00000000">
        <w:rPr>
          <w:rtl w:val="0"/>
        </w:rPr>
        <w:t xml:space="preserve">). Pressing the </w:t>
      </w:r>
      <w:r w:rsidDel="00000000" w:rsidR="00000000" w:rsidRPr="00000000">
        <w:rPr>
          <w:b w:val="1"/>
          <w:rtl w:val="0"/>
        </w:rPr>
        <w:t xml:space="preserve">AUTO SELECT</w:t>
      </w:r>
      <w:r w:rsidDel="00000000" w:rsidR="00000000" w:rsidRPr="00000000">
        <w:rPr>
          <w:rtl w:val="0"/>
        </w:rPr>
        <w:t xml:space="preserve"> button of the customization dialog box sets the reversal limit to one of two defaults: if the chart is daily, a reversal of 4% is set; if the chart is intraday, a reversal of 0.4%.</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Pr>
        <w:drawing>
          <wp:inline distB="0" distT="0" distL="0" distR="0">
            <wp:extent cx="3922690" cy="2286140"/>
            <wp:effectExtent b="0" l="0" r="0" t="0"/>
            <wp:docPr id="320" name="image14.png"/>
            <a:graphic>
              <a:graphicData uri="http://schemas.openxmlformats.org/drawingml/2006/picture">
                <pic:pic>
                  <pic:nvPicPr>
                    <pic:cNvPr id="0" name="image14.png"/>
                    <pic:cNvPicPr preferRelativeResize="0"/>
                  </pic:nvPicPr>
                  <pic:blipFill>
                    <a:blip r:embed="rId32"/>
                    <a:srcRect b="0" l="0" r="0" t="0"/>
                    <a:stretch>
                      <a:fillRect/>
                    </a:stretch>
                  </pic:blipFill>
                  <pic:spPr>
                    <a:xfrm>
                      <a:off x="0" y="0"/>
                      <a:ext cx="3922690" cy="228614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pStyle w:val="Heading2"/>
        <w:rPr/>
      </w:pPr>
      <w:bookmarkStart w:colFirst="0" w:colLast="0" w:name="_heading=h.43ky6rz" w:id="26"/>
      <w:bookmarkEnd w:id="26"/>
      <w:r w:rsidDel="00000000" w:rsidR="00000000" w:rsidRPr="00000000">
        <w:rPr>
          <w:rtl w:val="0"/>
        </w:rPr>
        <w:t xml:space="preserve">Line break</w:t>
      </w:r>
    </w:p>
    <w:p w:rsidR="00000000" w:rsidDel="00000000" w:rsidP="00000000" w:rsidRDefault="00000000" w:rsidRPr="00000000" w14:paraId="0000008D">
      <w:pPr>
        <w:keepNext w:val="1"/>
        <w:keepLines w:val="1"/>
        <w:rPr/>
      </w:pPr>
      <w:r w:rsidDel="00000000" w:rsidR="00000000" w:rsidRPr="00000000">
        <w:rPr>
          <w:rtl w:val="0"/>
        </w:rPr>
        <w:t xml:space="preserve">Line break charts appear as vertical bars that ascend and descend. These charts are time independent and are determined only by price action. Ascending bars are colored green and indicate upward price action. Descending bars are colored red and indicate downward price action.</w:t>
      </w:r>
    </w:p>
    <w:p w:rsidR="00000000" w:rsidDel="00000000" w:rsidP="00000000" w:rsidRDefault="00000000" w:rsidRPr="00000000" w14:paraId="0000008E">
      <w:pPr>
        <w:keepNext w:val="1"/>
        <w:keepLines w:val="1"/>
        <w:rPr/>
      </w:pPr>
      <w:r w:rsidDel="00000000" w:rsidR="00000000" w:rsidRPr="00000000">
        <w:rPr>
          <w:rtl w:val="0"/>
        </w:rPr>
        <w:t xml:space="preserve">Line break charts are constructed by looking at the close of a bar and comparing it to a previous bar’s close; which bar it is compared to is determined by the user (see below). If the current bar’s close is higher than the one it is being compared to, a green ascending bar is drawn. If the current bar’s close is lower than the one that it is being compared to, a red descending bar is drawn. If the current close is the same, or if the price does not move enough in one direction or the other to signify a reversal, then no bar is drawn.</w:t>
      </w:r>
    </w:p>
    <w:p w:rsidR="00000000" w:rsidDel="00000000" w:rsidP="00000000" w:rsidRDefault="00000000" w:rsidRPr="00000000" w14:paraId="0000008F">
      <w:pPr>
        <w:keepNext w:val="1"/>
        <w:rPr/>
      </w:pPr>
      <w:r w:rsidDel="00000000" w:rsidR="00000000" w:rsidRPr="00000000">
        <w:rPr>
          <w:rtl w:val="0"/>
        </w:rPr>
        <w:t xml:space="preserve">Line break charts default to a value of three, meaning that it compares the current bar’s close to the bar that came two periods earlier. </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Pr>
        <w:drawing>
          <wp:inline distB="0" distT="0" distL="0" distR="0">
            <wp:extent cx="3946291" cy="2303690"/>
            <wp:effectExtent b="0" l="0" r="0" t="0"/>
            <wp:docPr id="321" name="image19.png"/>
            <a:graphic>
              <a:graphicData uri="http://schemas.openxmlformats.org/drawingml/2006/picture">
                <pic:pic>
                  <pic:nvPicPr>
                    <pic:cNvPr id="0" name="image19.png"/>
                    <pic:cNvPicPr preferRelativeResize="0"/>
                  </pic:nvPicPr>
                  <pic:blipFill>
                    <a:blip r:embed="rId33"/>
                    <a:srcRect b="0" l="0" r="0" t="0"/>
                    <a:stretch>
                      <a:fillRect/>
                    </a:stretch>
                  </pic:blipFill>
                  <pic:spPr>
                    <a:xfrm>
                      <a:off x="0" y="0"/>
                      <a:ext cx="3946291" cy="230369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pStyle w:val="Heading2"/>
        <w:rPr/>
      </w:pPr>
      <w:bookmarkStart w:colFirst="0" w:colLast="0" w:name="_heading=h.2iq8gzs" w:id="27"/>
      <w:bookmarkEnd w:id="27"/>
      <w:r w:rsidDel="00000000" w:rsidR="00000000" w:rsidRPr="00000000">
        <w:rPr>
          <w:rtl w:val="0"/>
        </w:rPr>
        <w:t xml:space="preserve">Point and figure</w:t>
      </w:r>
    </w:p>
    <w:p w:rsidR="00000000" w:rsidDel="00000000" w:rsidP="00000000" w:rsidRDefault="00000000" w:rsidRPr="00000000" w14:paraId="00000092">
      <w:pPr>
        <w:keepNext w:val="1"/>
        <w:keepLines w:val="1"/>
        <w:rPr/>
      </w:pPr>
      <w:r w:rsidDel="00000000" w:rsidR="00000000" w:rsidRPr="00000000">
        <w:rPr>
          <w:rtl w:val="0"/>
        </w:rPr>
        <w:t xml:space="preserve">Point and figure charts display an X for upward price action and an O for downward price movement. The X and O represent a specific price increment, known as the box size which is configured in properties by the user. The objective is to capture directional price trends without the impact of time. A new column is formed when price reverses a set number of boxes, that is a multiple of the box size. The reversal value is configured in properties by the user. </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Pr>
        <w:drawing>
          <wp:inline distB="114300" distT="114300" distL="114300" distR="114300">
            <wp:extent cx="3981450" cy="2528888"/>
            <wp:effectExtent b="0" l="0" r="0" t="0"/>
            <wp:docPr id="322" name="image9.png"/>
            <a:graphic>
              <a:graphicData uri="http://schemas.openxmlformats.org/drawingml/2006/picture">
                <pic:pic>
                  <pic:nvPicPr>
                    <pic:cNvPr id="0" name="image9.png"/>
                    <pic:cNvPicPr preferRelativeResize="0"/>
                  </pic:nvPicPr>
                  <pic:blipFill>
                    <a:blip r:embed="rId34"/>
                    <a:srcRect b="0" l="0" r="0" t="0"/>
                    <a:stretch>
                      <a:fillRect/>
                    </a:stretch>
                  </pic:blipFill>
                  <pic:spPr>
                    <a:xfrm>
                      <a:off x="0" y="0"/>
                      <a:ext cx="3981450" cy="2528888"/>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pStyle w:val="Heading2"/>
        <w:rPr/>
      </w:pPr>
      <w:bookmarkStart w:colFirst="0" w:colLast="0" w:name="_heading=h.xvir7l" w:id="28"/>
      <w:bookmarkEnd w:id="28"/>
      <w:r w:rsidDel="00000000" w:rsidR="00000000" w:rsidRPr="00000000">
        <w:rPr>
          <w:rtl w:val="0"/>
        </w:rPr>
        <w:t xml:space="preserve">Range bars</w:t>
      </w:r>
    </w:p>
    <w:p w:rsidR="00000000" w:rsidDel="00000000" w:rsidP="00000000" w:rsidRDefault="00000000" w:rsidRPr="00000000" w14:paraId="00000095">
      <w:pPr>
        <w:keepNext w:val="1"/>
        <w:rPr/>
      </w:pPr>
      <w:r w:rsidDel="00000000" w:rsidR="00000000" w:rsidRPr="00000000">
        <w:rPr>
          <w:rtl w:val="0"/>
        </w:rPr>
        <w:t xml:space="preserve">Range bar charts appear as a series of equally sized candles. A new bar is formed when the price moves outside of the user defined range, which is configured in </w:t>
      </w:r>
      <w:r w:rsidDel="00000000" w:rsidR="00000000" w:rsidRPr="00000000">
        <w:rPr>
          <w:b w:val="1"/>
          <w:rtl w:val="0"/>
        </w:rPr>
        <w:t xml:space="preserve">Set Range.</w:t>
      </w:r>
      <w:r w:rsidDel="00000000" w:rsidR="00000000" w:rsidRPr="00000000">
        <w:rPr>
          <w:rtl w:val="0"/>
        </w:rPr>
        <w:t xml:space="preserve"> </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0" w:lineRule="auto"/>
        <w:rPr>
          <w:b w:val="1"/>
          <w:color w:val="000000"/>
        </w:rPr>
      </w:pPr>
      <w:r w:rsidDel="00000000" w:rsidR="00000000" w:rsidRPr="00000000">
        <w:rPr>
          <w:color w:val="000000"/>
        </w:rPr>
        <w:drawing>
          <wp:inline distB="0" distT="0" distL="0" distR="0">
            <wp:extent cx="3945330" cy="2582751"/>
            <wp:effectExtent b="0" l="0" r="0" t="0"/>
            <wp:docPr id="323" name="image5.png"/>
            <a:graphic>
              <a:graphicData uri="http://schemas.openxmlformats.org/drawingml/2006/picture">
                <pic:pic>
                  <pic:nvPicPr>
                    <pic:cNvPr id="0" name="image5.png"/>
                    <pic:cNvPicPr preferRelativeResize="0"/>
                  </pic:nvPicPr>
                  <pic:blipFill>
                    <a:blip r:embed="rId35"/>
                    <a:srcRect b="0" l="0" r="0" t="0"/>
                    <a:stretch>
                      <a:fillRect/>
                    </a:stretch>
                  </pic:blipFill>
                  <pic:spPr>
                    <a:xfrm>
                      <a:off x="0" y="0"/>
                      <a:ext cx="3945330" cy="2582751"/>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pStyle w:val="Heading2"/>
        <w:rPr/>
      </w:pPr>
      <w:bookmarkStart w:colFirst="0" w:colLast="0" w:name="_heading=h.3hv69ve" w:id="29"/>
      <w:bookmarkEnd w:id="29"/>
      <w:r w:rsidDel="00000000" w:rsidR="00000000" w:rsidRPr="00000000">
        <w:rPr>
          <w:rtl w:val="0"/>
        </w:rPr>
        <w:t xml:space="preserve">Renko</w:t>
      </w:r>
    </w:p>
    <w:p w:rsidR="00000000" w:rsidDel="00000000" w:rsidP="00000000" w:rsidRDefault="00000000" w:rsidRPr="00000000" w14:paraId="00000098">
      <w:pPr>
        <w:keepNext w:val="1"/>
        <w:keepLines w:val="1"/>
        <w:rPr/>
      </w:pPr>
      <w:r w:rsidDel="00000000" w:rsidR="00000000" w:rsidRPr="00000000">
        <w:rPr>
          <w:rtl w:val="0"/>
        </w:rPr>
        <w:t xml:space="preserve">Renko charts appear as a series of equally sized blocks stepping diagonally upward or downward. This chart type, developed by the Japanese, measures price movement independent of time. The objective is to clearly see the market’s directional movement, persistence, and magnitude. Renko charts are constructed from a series of bricks placed sequentially upward using green blocks or downward based on user-defined fluctuations in price. The user can set the </w:t>
      </w:r>
      <w:r w:rsidDel="00000000" w:rsidR="00000000" w:rsidRPr="00000000">
        <w:rPr>
          <w:b w:val="1"/>
          <w:rtl w:val="0"/>
        </w:rPr>
        <w:t xml:space="preserve">Brick Size</w:t>
      </w:r>
      <w:r w:rsidDel="00000000" w:rsidR="00000000" w:rsidRPr="00000000">
        <w:rPr>
          <w:rtl w:val="0"/>
        </w:rPr>
        <w:t xml:space="preserve"> using the </w:t>
      </w:r>
      <w:r w:rsidDel="00000000" w:rsidR="00000000" w:rsidRPr="00000000">
        <w:rPr>
          <w:b w:val="1"/>
          <w:rtl w:val="0"/>
        </w:rPr>
        <w:t xml:space="preserve">Set Range</w:t>
      </w:r>
      <w:r w:rsidDel="00000000" w:rsidR="00000000" w:rsidRPr="00000000">
        <w:rPr>
          <w:rtl w:val="0"/>
        </w:rPr>
        <w:t xml:space="preserve"> property. Once price moves more than the user-defined range, a new brick is added to the chart in the corresponding direction.</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Pr>
        <w:drawing>
          <wp:inline distB="0" distT="0" distL="0" distR="0">
            <wp:extent cx="4030260" cy="2331177"/>
            <wp:effectExtent b="0" l="0" r="0" t="0"/>
            <wp:docPr id="324" name="image18.png"/>
            <a:graphic>
              <a:graphicData uri="http://schemas.openxmlformats.org/drawingml/2006/picture">
                <pic:pic>
                  <pic:nvPicPr>
                    <pic:cNvPr id="0" name="image18.png"/>
                    <pic:cNvPicPr preferRelativeResize="0"/>
                  </pic:nvPicPr>
                  <pic:blipFill>
                    <a:blip r:embed="rId36"/>
                    <a:srcRect b="0" l="0" r="0" t="0"/>
                    <a:stretch>
                      <a:fillRect/>
                    </a:stretch>
                  </pic:blipFill>
                  <pic:spPr>
                    <a:xfrm>
                      <a:off x="0" y="0"/>
                      <a:ext cx="4030260" cy="2331177"/>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pacing w:after="0" w:lineRule="auto"/>
        <w:rPr>
          <w:color w:val="2e74b5"/>
          <w:sz w:val="36"/>
          <w:szCs w:val="36"/>
        </w:rPr>
      </w:pPr>
      <w:bookmarkStart w:colFirst="0" w:colLast="0" w:name="_heading=h.2p2csry" w:id="30"/>
      <w:bookmarkEnd w:id="30"/>
      <w:r w:rsidDel="00000000" w:rsidR="00000000" w:rsidRPr="00000000">
        <w:br w:type="page"/>
      </w:r>
      <w:r w:rsidDel="00000000" w:rsidR="00000000" w:rsidRPr="00000000">
        <w:rPr>
          <w:rtl w:val="0"/>
        </w:rPr>
      </w:r>
    </w:p>
    <w:p w:rsidR="00000000" w:rsidDel="00000000" w:rsidP="00000000" w:rsidRDefault="00000000" w:rsidRPr="00000000" w14:paraId="0000009B">
      <w:pPr>
        <w:pStyle w:val="Heading1"/>
        <w:rPr/>
      </w:pPr>
      <w:bookmarkStart w:colFirst="0" w:colLast="0" w:name="_heading=h.1x0gk37" w:id="31"/>
      <w:bookmarkEnd w:id="31"/>
      <w:r w:rsidDel="00000000" w:rsidR="00000000" w:rsidRPr="00000000">
        <w:rPr>
          <w:rtl w:val="0"/>
        </w:rPr>
        <w:t xml:space="preserve">Additional Charts</w:t>
      </w:r>
    </w:p>
    <w:p w:rsidR="00000000" w:rsidDel="00000000" w:rsidP="00000000" w:rsidRDefault="00000000" w:rsidRPr="00000000" w14:paraId="0000009C">
      <w:pPr>
        <w:pStyle w:val="Heading2"/>
        <w:rPr/>
      </w:pPr>
      <w:bookmarkStart w:colFirst="0" w:colLast="0" w:name="_heading=h.4h042r0" w:id="32"/>
      <w:bookmarkEnd w:id="32"/>
      <w:r w:rsidDel="00000000" w:rsidR="00000000" w:rsidRPr="00000000">
        <w:rPr>
          <w:rtl w:val="0"/>
        </w:rPr>
        <w:t xml:space="preserve">Term Structure</w:t>
      </w:r>
    </w:p>
    <w:p w:rsidR="00000000" w:rsidDel="00000000" w:rsidP="00000000" w:rsidRDefault="00000000" w:rsidRPr="00000000" w14:paraId="0000009D">
      <w:pPr>
        <w:keepNext w:val="1"/>
        <w:rPr/>
      </w:pPr>
      <w:r w:rsidDel="00000000" w:rsidR="00000000" w:rsidRPr="00000000">
        <w:rPr>
          <w:rtl w:val="0"/>
        </w:rPr>
        <w:t xml:space="preserve">Term structures are graphs of financial instrument values ordered by date of delivery. The Yield Curve chart, a type of term structure, compares U.S. Treasury yields at various maturity dates. The curve scales to show the relative time interval of maturity dates. Background shading highlights short-, mid-, and long-term instruments.</w:t>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Pr>
        <w:drawing>
          <wp:inline distB="114300" distT="114300" distL="114300" distR="114300">
            <wp:extent cx="5943600" cy="3009900"/>
            <wp:effectExtent b="0" l="0" r="0" t="0"/>
            <wp:docPr id="325" name="image8.png"/>
            <a:graphic>
              <a:graphicData uri="http://schemas.openxmlformats.org/drawingml/2006/picture">
                <pic:pic>
                  <pic:nvPicPr>
                    <pic:cNvPr id="0" name="image8.png"/>
                    <pic:cNvPicPr preferRelativeResize="0"/>
                  </pic:nvPicPr>
                  <pic:blipFill>
                    <a:blip r:embed="rId37"/>
                    <a:srcRect b="0" l="0" r="0" t="0"/>
                    <a:stretch>
                      <a:fillRect/>
                    </a:stretch>
                  </pic:blipFill>
                  <pic:spPr>
                    <a:xfrm>
                      <a:off x="0" y="0"/>
                      <a:ext cx="594360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pStyle w:val="Heading2"/>
        <w:rPr/>
      </w:pPr>
      <w:bookmarkStart w:colFirst="0" w:colLast="0" w:name="_heading=h.2w5ecyt" w:id="33"/>
      <w:bookmarkEnd w:id="33"/>
      <w:r w:rsidDel="00000000" w:rsidR="00000000" w:rsidRPr="00000000">
        <w:rPr>
          <w:rtl w:val="0"/>
        </w:rPr>
        <w:t xml:space="preserve">Data Forecasting</w:t>
      </w:r>
    </w:p>
    <w:p w:rsidR="00000000" w:rsidDel="00000000" w:rsidP="00000000" w:rsidRDefault="00000000" w:rsidRPr="00000000" w14:paraId="000000A0">
      <w:pPr>
        <w:keepNext w:val="1"/>
        <w:keepLines w:val="1"/>
        <w:rPr/>
      </w:pPr>
      <w:r w:rsidDel="00000000" w:rsidR="00000000" w:rsidRPr="00000000">
        <w:rPr>
          <w:rtl w:val="0"/>
        </w:rPr>
        <w:t xml:space="preserve">Data forecasting enables the visualization of predicted outcomes by connecting historical and forecast data sets. Forecasts are graphed in a variety of distinctive line styles and colors, clearly distinguishing the forecast portion of a series or study from the historical data. A forecast can include a range of outcomes which may be displayed as a projection cone. Forecasts can be appended to any date up to the present to show the accuracy of past forecasts.</w:t>
      </w:r>
    </w:p>
    <w:p w:rsidR="00000000" w:rsidDel="00000000" w:rsidP="00000000" w:rsidRDefault="00000000" w:rsidRPr="00000000" w14:paraId="000000A1">
      <w:pPr>
        <w:rPr/>
      </w:pPr>
      <w:r w:rsidDel="00000000" w:rsidR="00000000" w:rsidRPr="00000000">
        <w:rPr/>
        <w:drawing>
          <wp:inline distB="114300" distT="114300" distL="114300" distR="114300">
            <wp:extent cx="5943600" cy="3035300"/>
            <wp:effectExtent b="0" l="0" r="0" t="0"/>
            <wp:docPr id="326" name="image3.png"/>
            <a:graphic>
              <a:graphicData uri="http://schemas.openxmlformats.org/drawingml/2006/picture">
                <pic:pic>
                  <pic:nvPicPr>
                    <pic:cNvPr id="0" name="image3.png"/>
                    <pic:cNvPicPr preferRelativeResize="0"/>
                  </pic:nvPicPr>
                  <pic:blipFill>
                    <a:blip r:embed="rId38"/>
                    <a:srcRect b="0" l="0" r="0" t="0"/>
                    <a:stretch>
                      <a:fillRect/>
                    </a:stretch>
                  </pic:blipFill>
                  <pic:spPr>
                    <a:xfrm>
                      <a:off x="0" y="0"/>
                      <a:ext cx="59436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spacing w:after="0" w:lineRule="auto"/>
        <w:rPr>
          <w:color w:val="2e74b5"/>
          <w:sz w:val="36"/>
          <w:szCs w:val="36"/>
        </w:rPr>
      </w:pPr>
      <w:bookmarkStart w:colFirst="0" w:colLast="0" w:name="_heading=h.ihv636" w:id="34"/>
      <w:bookmarkEnd w:id="34"/>
      <w:r w:rsidDel="00000000" w:rsidR="00000000" w:rsidRPr="00000000">
        <w:br w:type="page"/>
      </w:r>
      <w:r w:rsidDel="00000000" w:rsidR="00000000" w:rsidRPr="00000000">
        <w:rPr>
          <w:rtl w:val="0"/>
        </w:rPr>
      </w:r>
    </w:p>
    <w:p w:rsidR="00000000" w:rsidDel="00000000" w:rsidP="00000000" w:rsidRDefault="00000000" w:rsidRPr="00000000" w14:paraId="000000A3">
      <w:pPr>
        <w:pStyle w:val="Heading1"/>
        <w:rPr/>
      </w:pPr>
      <w:bookmarkStart w:colFirst="0" w:colLast="0" w:name="_heading=h.1baon6m" w:id="35"/>
      <w:bookmarkEnd w:id="35"/>
      <w:r w:rsidDel="00000000" w:rsidR="00000000" w:rsidRPr="00000000">
        <w:rPr>
          <w:rtl w:val="0"/>
        </w:rPr>
        <w:t xml:space="preserve">Studies</w:t>
      </w:r>
    </w:p>
    <w:p w:rsidR="00000000" w:rsidDel="00000000" w:rsidP="00000000" w:rsidRDefault="00000000" w:rsidRPr="00000000" w14:paraId="000000A4">
      <w:pPr>
        <w:rPr/>
      </w:pPr>
      <w:r w:rsidDel="00000000" w:rsidR="00000000" w:rsidRPr="00000000">
        <w:rPr>
          <w:rtl w:val="0"/>
        </w:rPr>
        <w:t xml:space="preserve">The ChartIQ library includes over 100 studies, many of which support multiple lines and permutations, giving you exceptional technical analysis capabilities.</w:t>
      </w:r>
    </w:p>
    <w:p w:rsidR="00000000" w:rsidDel="00000000" w:rsidP="00000000" w:rsidRDefault="00000000" w:rsidRPr="00000000" w14:paraId="000000A5">
      <w:pPr>
        <w:pStyle w:val="Heading2"/>
        <w:rPr/>
      </w:pPr>
      <w:bookmarkStart w:colFirst="0" w:colLast="0" w:name="_heading=h.3vac5uf" w:id="36"/>
      <w:bookmarkEnd w:id="36"/>
      <w:r w:rsidDel="00000000" w:rsidR="00000000" w:rsidRPr="00000000">
        <w:rPr>
          <w:rtl w:val="0"/>
        </w:rPr>
        <w:t xml:space="preserve">Popular studies</w:t>
      </w:r>
    </w:p>
    <w:p w:rsidR="00000000" w:rsidDel="00000000" w:rsidP="00000000" w:rsidRDefault="00000000" w:rsidRPr="00000000" w14:paraId="000000A6">
      <w:pPr>
        <w:rPr/>
      </w:pPr>
      <w:r w:rsidDel="00000000" w:rsidR="00000000" w:rsidRPr="00000000">
        <w:rPr>
          <w:rtl w:val="0"/>
        </w:rPr>
        <w:t xml:space="preserve">Here are some of our most popular and most-used technical indicators.</w:t>
      </w:r>
    </w:p>
    <w:p w:rsidR="00000000" w:rsidDel="00000000" w:rsidP="00000000" w:rsidRDefault="00000000" w:rsidRPr="00000000" w14:paraId="000000A7">
      <w:pPr>
        <w:pStyle w:val="Heading3"/>
        <w:rPr/>
      </w:pPr>
      <w:bookmarkStart w:colFirst="0" w:colLast="0" w:name="_heading=h.2afmg28" w:id="37"/>
      <w:bookmarkEnd w:id="37"/>
      <w:r w:rsidDel="00000000" w:rsidR="00000000" w:rsidRPr="00000000">
        <w:rPr>
          <w:rtl w:val="0"/>
        </w:rPr>
        <w:t xml:space="preserve">Anchored VWAP</w:t>
      </w:r>
    </w:p>
    <w:p w:rsidR="00000000" w:rsidDel="00000000" w:rsidP="00000000" w:rsidRDefault="00000000" w:rsidRPr="00000000" w14:paraId="000000A8">
      <w:pPr>
        <w:rPr/>
      </w:pPr>
      <w:r w:rsidDel="00000000" w:rsidR="00000000" w:rsidRPr="00000000">
        <w:rPr>
          <w:rtl w:val="0"/>
        </w:rPr>
        <w:t xml:space="preserve">Anchored VWAP derives the volume weighted average price from a given date and time. Unlike VWAP, the anchored VWAP can be applied to both intraday and historical price data. HLC3 is the default price used to derive Anchored VWAP.</w:t>
      </w:r>
    </w:p>
    <w:p w:rsidR="00000000" w:rsidDel="00000000" w:rsidP="00000000" w:rsidRDefault="00000000" w:rsidRPr="00000000" w14:paraId="000000A9">
      <w:pPr>
        <w:rPr/>
      </w:pPr>
      <w:r w:rsidDel="00000000" w:rsidR="00000000" w:rsidRPr="00000000">
        <w:rPr>
          <w:b w:val="1"/>
          <w:i w:val="1"/>
          <w:highlight w:val="white"/>
          <w:rtl w:val="0"/>
        </w:rPr>
        <w:t xml:space="preserve">NEW v8.1</w:t>
      </w:r>
      <w:r w:rsidDel="00000000" w:rsidR="00000000" w:rsidRPr="00000000">
        <w:rPr>
          <w:highlight w:val="white"/>
          <w:rtl w:val="0"/>
        </w:rPr>
        <w:t xml:space="preserve"> Users can now set the anchor time using an interactive control. The control is a vertical line with a drag “handle” that enables users to select and drag left and right to set the anchor time. A checkbox in the study settings panel turns the anchor selector control on or off.</w:t>
      </w:r>
      <w:r w:rsidDel="00000000" w:rsidR="00000000" w:rsidRPr="00000000">
        <w:rPr>
          <w:rtl w:val="0"/>
        </w:rPr>
      </w:r>
    </w:p>
    <w:p w:rsidR="00000000" w:rsidDel="00000000" w:rsidP="00000000" w:rsidRDefault="00000000" w:rsidRPr="00000000" w14:paraId="000000AA">
      <w:pPr>
        <w:pStyle w:val="Heading3"/>
        <w:rPr/>
      </w:pPr>
      <w:bookmarkStart w:colFirst="0" w:colLast="0" w:name="_heading=h.pkwqa1" w:id="38"/>
      <w:bookmarkEnd w:id="38"/>
      <w:r w:rsidDel="00000000" w:rsidR="00000000" w:rsidRPr="00000000">
        <w:rPr>
          <w:rtl w:val="0"/>
        </w:rPr>
        <w:t xml:space="preserve">Aroon / Aroon Oscillator </w:t>
      </w:r>
    </w:p>
    <w:p w:rsidR="00000000" w:rsidDel="00000000" w:rsidP="00000000" w:rsidRDefault="00000000" w:rsidRPr="00000000" w14:paraId="000000AB">
      <w:pPr>
        <w:keepNext w:val="1"/>
        <w:pBdr>
          <w:top w:space="0" w:sz="0" w:val="nil"/>
          <w:left w:space="0" w:sz="0" w:val="nil"/>
          <w:bottom w:space="0" w:sz="0" w:val="nil"/>
          <w:right w:space="0" w:sz="0" w:val="nil"/>
          <w:between w:space="0" w:sz="0" w:val="nil"/>
        </w:pBdr>
        <w:spacing w:after="120" w:lineRule="auto"/>
        <w:rPr>
          <w:color w:val="000000"/>
          <w:shd w:fill="fefefe" w:val="clear"/>
        </w:rPr>
      </w:pPr>
      <w:r w:rsidDel="00000000" w:rsidR="00000000" w:rsidRPr="00000000">
        <w:rPr>
          <w:color w:val="000000"/>
          <w:shd w:fill="fefefe" w:val="clear"/>
          <w:rtl w:val="0"/>
        </w:rPr>
        <w:t xml:space="preserve">Aroon / Aroon Oscillator is used to identify the strength of a trend and especially when a trend is beginning.</w:t>
      </w:r>
    </w:p>
    <w:p w:rsidR="00000000" w:rsidDel="00000000" w:rsidP="00000000" w:rsidRDefault="00000000" w:rsidRPr="00000000" w14:paraId="000000AC">
      <w:pPr>
        <w:keepNext w:val="1"/>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Indicator Type — Trend Finder</w:t>
      </w:r>
      <w:r w:rsidDel="00000000" w:rsidR="00000000" w:rsidRPr="00000000">
        <w:rPr>
          <w:rtl w:val="0"/>
        </w:rPr>
      </w:r>
    </w:p>
    <w:p w:rsidR="00000000" w:rsidDel="00000000" w:rsidP="00000000" w:rsidRDefault="00000000" w:rsidRPr="00000000" w14:paraId="000000AD">
      <w:pPr>
        <w:keepNext w:val="1"/>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Markets — All cash and futures, not options</w:t>
      </w:r>
      <w:r w:rsidDel="00000000" w:rsidR="00000000" w:rsidRPr="00000000">
        <w:rPr>
          <w:rtl w:val="0"/>
        </w:rPr>
      </w:r>
    </w:p>
    <w:p w:rsidR="00000000" w:rsidDel="00000000" w:rsidP="00000000" w:rsidRDefault="00000000" w:rsidRPr="00000000" w14:paraId="000000AE">
      <w:pPr>
        <w:keepNext w:val="1"/>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Works Best — All market types and time frames although daily is the most popular.</w:t>
      </w:r>
      <w:r w:rsidDel="00000000" w:rsidR="00000000" w:rsidRPr="00000000">
        <w:rPr>
          <w:rtl w:val="0"/>
        </w:rPr>
      </w:r>
    </w:p>
    <w:p w:rsidR="00000000" w:rsidDel="00000000" w:rsidP="00000000" w:rsidRDefault="00000000" w:rsidRPr="00000000" w14:paraId="000000AF">
      <w:pPr>
        <w:keepNext w:val="1"/>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Formula — The Aroon indicators are shown in percentage terms and fluctuate between 0 and 100. Aroon op is based on recent highs and Aroon down is based on recent lows. The Aroon oscillator is simply a plot of Aroon up minus Aroon down.</w:t>
      </w:r>
      <w:r w:rsidDel="00000000" w:rsidR="00000000" w:rsidRPr="00000000">
        <w:rPr>
          <w:rtl w:val="0"/>
        </w:rPr>
      </w:r>
    </w:p>
    <w:p w:rsidR="00000000" w:rsidDel="00000000" w:rsidP="00000000" w:rsidRDefault="00000000" w:rsidRPr="00000000" w14:paraId="000000B0">
      <w:pPr>
        <w:keepNext w:val="1"/>
        <w:numPr>
          <w:ilvl w:val="0"/>
          <w:numId w:val="3"/>
        </w:numPr>
        <w:pBdr>
          <w:top w:space="0" w:sz="0" w:val="nil"/>
          <w:left w:space="0" w:sz="0" w:val="nil"/>
          <w:bottom w:space="0" w:sz="0" w:val="nil"/>
          <w:right w:space="0" w:sz="0" w:val="nil"/>
          <w:between w:space="0" w:sz="0" w:val="nil"/>
        </w:pBdr>
        <w:ind w:left="360" w:hanging="360"/>
        <w:rPr/>
      </w:pPr>
      <w:r w:rsidDel="00000000" w:rsidR="00000000" w:rsidRPr="00000000">
        <w:rPr>
          <w:color w:val="000000"/>
          <w:rtl w:val="0"/>
        </w:rPr>
        <w:t xml:space="preserve">Theory — Aroon means “dawn’s early light” in Sanskrit, a name chosen for the indicator’s ability to spot the beginning of a new trend, either higher or lower. Developed by Tushar Chande, both the Aroon up and the Aroon down fluctuate between 0 and 100, with high Aroon up values indicating a strong rising trend.</w:t>
      </w: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High Aroon down values indicate a strong falling trend. Zero indicates a no trend. The main assumption underlying this indicator is that a stock’s price will close at relative highs in an uptrend and relative lows in a downtrend. A 25-day Aroon up measures the number of days since a 25-day high. A 25-day Aroon down measures the number of days since a 25-day low. This means the indicator analyzes price relative to itself rather than price relative to time, as many other indicators measure. It can spot emerging trends, identify consolidations, and anticipate reversals.</w:t>
      </w:r>
    </w:p>
    <w:p w:rsidR="00000000" w:rsidDel="00000000" w:rsidP="00000000" w:rsidRDefault="00000000" w:rsidRPr="00000000" w14:paraId="000000B2">
      <w:pPr>
        <w:pStyle w:val="Heading3"/>
        <w:rPr/>
      </w:pPr>
      <w:bookmarkStart w:colFirst="0" w:colLast="0" w:name="_heading=h.39kk8xu" w:id="39"/>
      <w:bookmarkEnd w:id="39"/>
      <w:r w:rsidDel="00000000" w:rsidR="00000000" w:rsidRPr="00000000">
        <w:rPr>
          <w:rtl w:val="0"/>
        </w:rPr>
        <w:t xml:space="preserve">Average Directional Index and Directional Movement System (ADX/DMS) </w:t>
      </w:r>
    </w:p>
    <w:p w:rsidR="00000000" w:rsidDel="00000000" w:rsidP="00000000" w:rsidRDefault="00000000" w:rsidRPr="00000000" w14:paraId="000000B3">
      <w:pPr>
        <w:keepNext w:val="1"/>
        <w:pBdr>
          <w:top w:space="0" w:sz="0" w:val="nil"/>
          <w:left w:space="0" w:sz="0" w:val="nil"/>
          <w:bottom w:space="0" w:sz="0" w:val="nil"/>
          <w:right w:space="0" w:sz="0" w:val="nil"/>
          <w:between w:space="0" w:sz="0" w:val="nil"/>
        </w:pBdr>
        <w:spacing w:after="120" w:lineRule="auto"/>
        <w:rPr>
          <w:color w:val="000000"/>
          <w:shd w:fill="fefefe" w:val="clear"/>
        </w:rPr>
      </w:pPr>
      <w:r w:rsidDel="00000000" w:rsidR="00000000" w:rsidRPr="00000000">
        <w:rPr>
          <w:color w:val="000000"/>
          <w:shd w:fill="fefefe" w:val="clear"/>
          <w:rtl w:val="0"/>
        </w:rPr>
        <w:t xml:space="preserve">ADX/DMS is used to identify the direction and strength of a trend.</w:t>
      </w:r>
    </w:p>
    <w:p w:rsidR="00000000" w:rsidDel="00000000" w:rsidP="00000000" w:rsidRDefault="00000000" w:rsidRPr="00000000" w14:paraId="000000B4">
      <w:pPr>
        <w:keepNext w:val="1"/>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Indicator Type — Trend finder</w:t>
      </w:r>
      <w:r w:rsidDel="00000000" w:rsidR="00000000" w:rsidRPr="00000000">
        <w:rPr>
          <w:rtl w:val="0"/>
        </w:rPr>
      </w:r>
    </w:p>
    <w:p w:rsidR="00000000" w:rsidDel="00000000" w:rsidP="00000000" w:rsidRDefault="00000000" w:rsidRPr="00000000" w14:paraId="000000B5">
      <w:pPr>
        <w:keepNext w:val="1"/>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Markets — All cash and futures, not options</w:t>
      </w:r>
      <w:r w:rsidDel="00000000" w:rsidR="00000000" w:rsidRPr="00000000">
        <w:rPr>
          <w:rtl w:val="0"/>
        </w:rPr>
      </w:r>
    </w:p>
    <w:p w:rsidR="00000000" w:rsidDel="00000000" w:rsidP="00000000" w:rsidRDefault="00000000" w:rsidRPr="00000000" w14:paraId="000000B6">
      <w:pPr>
        <w:keepNext w:val="1"/>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Works Best — All markets and time frames, although this study can excel in determining if a visually flat market is starting to develop a trend.</w:t>
      </w:r>
      <w:r w:rsidDel="00000000" w:rsidR="00000000" w:rsidRPr="00000000">
        <w:rPr>
          <w:rtl w:val="0"/>
        </w:rPr>
      </w:r>
    </w:p>
    <w:p w:rsidR="00000000" w:rsidDel="00000000" w:rsidP="00000000" w:rsidRDefault="00000000" w:rsidRPr="00000000" w14:paraId="000000B7">
      <w:pPr>
        <w:keepNext w:val="1"/>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Formula — Directional movement (DM) is defined as the largest part of the current period’s price range that lies outside the previous period’s price range. Each period will either be positive (larger range above previous range), negative (larger range below previous range), or zero (price stay within the previous day’s range):</w:t>
      </w:r>
      <w:r w:rsidDel="00000000" w:rsidR="00000000" w:rsidRPr="00000000">
        <w:rPr>
          <w:rtl w:val="0"/>
        </w:rPr>
      </w:r>
    </w:p>
    <w:p w:rsidR="00000000" w:rsidDel="00000000" w:rsidP="00000000" w:rsidRDefault="00000000" w:rsidRPr="00000000" w14:paraId="000000B8">
      <w:pPr>
        <w:keepNext w:val="1"/>
        <w:numPr>
          <w:ilvl w:val="0"/>
          <w:numId w:val="5"/>
        </w:numPr>
        <w:pBdr>
          <w:top w:space="0" w:sz="0" w:val="nil"/>
          <w:left w:space="0" w:sz="0" w:val="nil"/>
          <w:bottom w:space="0" w:sz="0" w:val="nil"/>
          <w:right w:space="0" w:sz="0" w:val="nil"/>
          <w:between w:space="0" w:sz="0" w:val="nil"/>
        </w:pBdr>
        <w:spacing w:after="120" w:lineRule="auto"/>
        <w:ind w:left="720" w:hanging="360"/>
        <w:rPr/>
      </w:pPr>
      <w:r w:rsidDel="00000000" w:rsidR="00000000" w:rsidRPr="00000000">
        <w:rPr>
          <w:color w:val="000000"/>
          <w:rtl w:val="0"/>
        </w:rPr>
        <w:t xml:space="preserve">The value of the plus directional indicator (+DI) is the DM (if above the previous range) divided by the average true range. </w:t>
      </w:r>
      <w:r w:rsidDel="00000000" w:rsidR="00000000" w:rsidRPr="00000000">
        <w:rPr>
          <w:rtl w:val="0"/>
        </w:rPr>
      </w:r>
    </w:p>
    <w:p w:rsidR="00000000" w:rsidDel="00000000" w:rsidP="00000000" w:rsidRDefault="00000000" w:rsidRPr="00000000" w14:paraId="000000B9">
      <w:pPr>
        <w:keepNext w:val="1"/>
        <w:numPr>
          <w:ilvl w:val="0"/>
          <w:numId w:val="5"/>
        </w:numPr>
        <w:pBdr>
          <w:top w:space="0" w:sz="0" w:val="nil"/>
          <w:left w:space="0" w:sz="0" w:val="nil"/>
          <w:bottom w:space="0" w:sz="0" w:val="nil"/>
          <w:right w:space="0" w:sz="0" w:val="nil"/>
          <w:between w:space="0" w:sz="0" w:val="nil"/>
        </w:pBdr>
        <w:spacing w:after="120" w:lineRule="auto"/>
        <w:ind w:left="720" w:hanging="360"/>
        <w:rPr/>
      </w:pPr>
      <w:r w:rsidDel="00000000" w:rsidR="00000000" w:rsidRPr="00000000">
        <w:rPr>
          <w:color w:val="000000"/>
          <w:rtl w:val="0"/>
        </w:rPr>
        <w:t xml:space="preserve">The value of the minus directional indicator (-DI) is the DM (if below the previous range) divided by the average true range. </w:t>
      </w:r>
      <w:r w:rsidDel="00000000" w:rsidR="00000000" w:rsidRPr="00000000">
        <w:rPr>
          <w:rtl w:val="0"/>
        </w:rPr>
      </w:r>
    </w:p>
    <w:p w:rsidR="00000000" w:rsidDel="00000000" w:rsidP="00000000" w:rsidRDefault="00000000" w:rsidRPr="00000000" w14:paraId="000000BA">
      <w:pPr>
        <w:keepNext w:val="1"/>
        <w:numPr>
          <w:ilvl w:val="0"/>
          <w:numId w:val="5"/>
        </w:numPr>
        <w:pBdr>
          <w:top w:space="0" w:sz="0" w:val="nil"/>
          <w:left w:space="0" w:sz="0" w:val="nil"/>
          <w:bottom w:space="0" w:sz="0" w:val="nil"/>
          <w:right w:space="0" w:sz="0" w:val="nil"/>
          <w:between w:space="0" w:sz="0" w:val="nil"/>
        </w:pBdr>
        <w:spacing w:after="120" w:lineRule="auto"/>
        <w:ind w:left="720" w:hanging="360"/>
        <w:rPr/>
      </w:pPr>
      <w:r w:rsidDel="00000000" w:rsidR="00000000" w:rsidRPr="00000000">
        <w:rPr>
          <w:color w:val="000000"/>
          <w:rtl w:val="0"/>
        </w:rPr>
        <w:t xml:space="preserve">Each period has only one result, either plus, minus, or zero. Calculate the average directional index by taking a simple moving average of the past +DI and -DI values. ChartIQ defaults to 14 periods. </w:t>
      </w:r>
      <w:r w:rsidDel="00000000" w:rsidR="00000000" w:rsidRPr="00000000">
        <w:rPr>
          <w:rtl w:val="0"/>
        </w:rPr>
      </w:r>
    </w:p>
    <w:p w:rsidR="00000000" w:rsidDel="00000000" w:rsidP="00000000" w:rsidRDefault="00000000" w:rsidRPr="00000000" w14:paraId="000000BB">
      <w:pPr>
        <w:numPr>
          <w:ilvl w:val="0"/>
          <w:numId w:val="5"/>
        </w:numPr>
        <w:pBdr>
          <w:top w:space="0" w:sz="0" w:val="nil"/>
          <w:left w:space="0" w:sz="0" w:val="nil"/>
          <w:bottom w:space="0" w:sz="0" w:val="nil"/>
          <w:right w:space="0" w:sz="0" w:val="nil"/>
          <w:between w:space="0" w:sz="0" w:val="nil"/>
        </w:pBdr>
        <w:spacing w:after="120" w:lineRule="auto"/>
        <w:ind w:left="720" w:hanging="360"/>
        <w:rPr/>
      </w:pPr>
      <w:r w:rsidDel="00000000" w:rsidR="00000000" w:rsidRPr="00000000">
        <w:rPr>
          <w:color w:val="000000"/>
          <w:rtl w:val="0"/>
        </w:rPr>
        <w:t xml:space="preserve">You can also select colors for the ADX, +DI, and –DI lines by selecting the appropriate box to bring up a color palette. Green and red are often used for +DI and –DI, respectively.</w:t>
      </w:r>
      <w:r w:rsidDel="00000000" w:rsidR="00000000" w:rsidRPr="00000000">
        <w:rPr>
          <w:rtl w:val="0"/>
        </w:rPr>
      </w:r>
    </w:p>
    <w:p w:rsidR="00000000" w:rsidDel="00000000" w:rsidP="00000000" w:rsidRDefault="00000000" w:rsidRPr="00000000" w14:paraId="000000BC">
      <w:pPr>
        <w:numPr>
          <w:ilvl w:val="0"/>
          <w:numId w:val="3"/>
        </w:numPr>
        <w:pBdr>
          <w:top w:space="0" w:sz="0" w:val="nil"/>
          <w:left w:space="0" w:sz="0" w:val="nil"/>
          <w:bottom w:space="0" w:sz="0" w:val="nil"/>
          <w:right w:space="0" w:sz="0" w:val="nil"/>
          <w:between w:space="0" w:sz="0" w:val="nil"/>
        </w:pBdr>
        <w:ind w:left="360" w:hanging="360"/>
        <w:rPr/>
      </w:pPr>
      <w:r w:rsidDel="00000000" w:rsidR="00000000" w:rsidRPr="00000000">
        <w:rPr>
          <w:color w:val="000000"/>
          <w:rtl w:val="0"/>
        </w:rPr>
        <w:t xml:space="preserve">Theory — Most technical tools fall into one of two categories: oscillators and trend followers. RSI and stochastics are examples of the former and moving averages and bands are examples of the latter. However, not all studies are effective in the different types of markets. Trend following studies often cause false signals, and hence losses, in flat or erratic markets. This study helps determine whether the market is in a trending mode and, if so, how strong that trend is so the proper technical tools can be applied. The study seeks to find if the item spent more time above or below its previous period’s range. In this case, more time really means a bigger foray in one direction or the other. If moves higher start to accumulate, even if closes are not really changing, we get an idea that bulls are trying to move the item higher.</w:t>
      </w:r>
      <w:r w:rsidDel="00000000" w:rsidR="00000000" w:rsidRPr="00000000">
        <w:rPr>
          <w:rtl w:val="0"/>
        </w:rPr>
      </w:r>
    </w:p>
    <w:p w:rsidR="00000000" w:rsidDel="00000000" w:rsidP="00000000" w:rsidRDefault="00000000" w:rsidRPr="00000000" w14:paraId="000000BD">
      <w:pPr>
        <w:pStyle w:val="Heading3"/>
        <w:rPr/>
      </w:pPr>
      <w:bookmarkStart w:colFirst="0" w:colLast="0" w:name="_heading=h.1opuj5n" w:id="40"/>
      <w:bookmarkEnd w:id="40"/>
      <w:r w:rsidDel="00000000" w:rsidR="00000000" w:rsidRPr="00000000">
        <w:rPr>
          <w:rtl w:val="0"/>
        </w:rPr>
        <w:t xml:space="preserve">Average True Range (ATR)</w:t>
      </w:r>
    </w:p>
    <w:p w:rsidR="00000000" w:rsidDel="00000000" w:rsidP="00000000" w:rsidRDefault="00000000" w:rsidRPr="00000000" w14:paraId="000000BE">
      <w:pPr>
        <w:keepNext w:val="1"/>
        <w:pBdr>
          <w:top w:space="0" w:sz="0" w:val="nil"/>
          <w:left w:space="0" w:sz="0" w:val="nil"/>
          <w:bottom w:space="0" w:sz="0" w:val="nil"/>
          <w:right w:space="0" w:sz="0" w:val="nil"/>
          <w:between w:space="0" w:sz="0" w:val="nil"/>
        </w:pBdr>
        <w:spacing w:after="120" w:lineRule="auto"/>
        <w:rPr>
          <w:color w:val="000000"/>
          <w:shd w:fill="fefefe" w:val="clear"/>
        </w:rPr>
      </w:pPr>
      <w:r w:rsidDel="00000000" w:rsidR="00000000" w:rsidRPr="00000000">
        <w:rPr>
          <w:color w:val="000000"/>
          <w:shd w:fill="fefefe" w:val="clear"/>
          <w:rtl w:val="0"/>
        </w:rPr>
        <w:t xml:space="preserve">ATR incorporates the change from the previous close into calculating the periods range (volatility).</w:t>
      </w:r>
    </w:p>
    <w:p w:rsidR="00000000" w:rsidDel="00000000" w:rsidP="00000000" w:rsidRDefault="00000000" w:rsidRPr="00000000" w14:paraId="000000BF">
      <w:pPr>
        <w:keepNext w:val="1"/>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Indicator Type — Volatility measure</w:t>
      </w:r>
      <w:r w:rsidDel="00000000" w:rsidR="00000000" w:rsidRPr="00000000">
        <w:rPr>
          <w:rtl w:val="0"/>
        </w:rPr>
      </w:r>
    </w:p>
    <w:p w:rsidR="00000000" w:rsidDel="00000000" w:rsidP="00000000" w:rsidRDefault="00000000" w:rsidRPr="00000000" w14:paraId="000000C0">
      <w:pPr>
        <w:keepNext w:val="1"/>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Markets — All cash and futures</w:t>
      </w:r>
      <w:r w:rsidDel="00000000" w:rsidR="00000000" w:rsidRPr="00000000">
        <w:rPr>
          <w:rtl w:val="0"/>
        </w:rPr>
      </w:r>
    </w:p>
    <w:p w:rsidR="00000000" w:rsidDel="00000000" w:rsidP="00000000" w:rsidRDefault="00000000" w:rsidRPr="00000000" w14:paraId="000000C1">
      <w:pPr>
        <w:keepNext w:val="1"/>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Works Best — All market types in daily and weekly time frames, although it can be used intraday, as well.</w:t>
      </w:r>
      <w:r w:rsidDel="00000000" w:rsidR="00000000" w:rsidRPr="00000000">
        <w:rPr>
          <w:rtl w:val="0"/>
        </w:rPr>
      </w:r>
    </w:p>
    <w:p w:rsidR="00000000" w:rsidDel="00000000" w:rsidP="00000000" w:rsidRDefault="00000000" w:rsidRPr="00000000" w14:paraId="000000C2">
      <w:pPr>
        <w:keepNext w:val="1"/>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Formula — The true range is the largest absolute value of:</w:t>
      </w:r>
      <w:r w:rsidDel="00000000" w:rsidR="00000000" w:rsidRPr="00000000">
        <w:rPr>
          <w:rtl w:val="0"/>
        </w:rPr>
      </w:r>
    </w:p>
    <w:p w:rsidR="00000000" w:rsidDel="00000000" w:rsidP="00000000" w:rsidRDefault="00000000" w:rsidRPr="00000000" w14:paraId="000000C3">
      <w:pPr>
        <w:keepNext w:val="1"/>
        <w:numPr>
          <w:ilvl w:val="0"/>
          <w:numId w:val="5"/>
        </w:numPr>
        <w:pBdr>
          <w:top w:space="0" w:sz="0" w:val="nil"/>
          <w:left w:space="0" w:sz="0" w:val="nil"/>
          <w:bottom w:space="0" w:sz="0" w:val="nil"/>
          <w:right w:space="0" w:sz="0" w:val="nil"/>
          <w:between w:space="0" w:sz="0" w:val="nil"/>
        </w:pBdr>
        <w:spacing w:after="120" w:lineRule="auto"/>
        <w:ind w:left="720" w:hanging="360"/>
        <w:rPr/>
      </w:pPr>
      <w:r w:rsidDel="00000000" w:rsidR="00000000" w:rsidRPr="00000000">
        <w:rPr>
          <w:color w:val="000000"/>
          <w:rtl w:val="0"/>
        </w:rPr>
        <w:t xml:space="preserve">current high minus previous close</w:t>
      </w:r>
      <w:r w:rsidDel="00000000" w:rsidR="00000000" w:rsidRPr="00000000">
        <w:rPr>
          <w:rtl w:val="0"/>
        </w:rPr>
      </w:r>
    </w:p>
    <w:p w:rsidR="00000000" w:rsidDel="00000000" w:rsidP="00000000" w:rsidRDefault="00000000" w:rsidRPr="00000000" w14:paraId="000000C4">
      <w:pPr>
        <w:keepNext w:val="1"/>
        <w:numPr>
          <w:ilvl w:val="0"/>
          <w:numId w:val="5"/>
        </w:numPr>
        <w:pBdr>
          <w:top w:space="0" w:sz="0" w:val="nil"/>
          <w:left w:space="0" w:sz="0" w:val="nil"/>
          <w:bottom w:space="0" w:sz="0" w:val="nil"/>
          <w:right w:space="0" w:sz="0" w:val="nil"/>
          <w:between w:space="0" w:sz="0" w:val="nil"/>
        </w:pBdr>
        <w:spacing w:after="120" w:lineRule="auto"/>
        <w:ind w:left="720" w:hanging="360"/>
        <w:rPr/>
      </w:pPr>
      <w:r w:rsidDel="00000000" w:rsidR="00000000" w:rsidRPr="00000000">
        <w:rPr>
          <w:color w:val="000000"/>
          <w:rtl w:val="0"/>
        </w:rPr>
        <w:t xml:space="preserve">current low minus previous close</w:t>
      </w:r>
      <w:r w:rsidDel="00000000" w:rsidR="00000000" w:rsidRPr="00000000">
        <w:rPr>
          <w:rtl w:val="0"/>
        </w:rPr>
      </w:r>
    </w:p>
    <w:p w:rsidR="00000000" w:rsidDel="00000000" w:rsidP="00000000" w:rsidRDefault="00000000" w:rsidRPr="00000000" w14:paraId="000000C5">
      <w:pPr>
        <w:keepNext w:val="1"/>
        <w:numPr>
          <w:ilvl w:val="0"/>
          <w:numId w:val="5"/>
        </w:numPr>
        <w:pBdr>
          <w:top w:space="0" w:sz="0" w:val="nil"/>
          <w:left w:space="0" w:sz="0" w:val="nil"/>
          <w:bottom w:space="0" w:sz="0" w:val="nil"/>
          <w:right w:space="0" w:sz="0" w:val="nil"/>
          <w:between w:space="0" w:sz="0" w:val="nil"/>
        </w:pBdr>
        <w:spacing w:after="120" w:lineRule="auto"/>
        <w:ind w:left="720" w:hanging="360"/>
        <w:rPr/>
      </w:pPr>
      <w:r w:rsidDel="00000000" w:rsidR="00000000" w:rsidRPr="00000000">
        <w:rPr>
          <w:color w:val="000000"/>
          <w:rtl w:val="0"/>
        </w:rPr>
        <w:t xml:space="preserve">current high minus current low</w:t>
      </w:r>
      <w:r w:rsidDel="00000000" w:rsidR="00000000" w:rsidRPr="00000000">
        <w:rPr>
          <w:rtl w:val="0"/>
        </w:rPr>
      </w:r>
    </w:p>
    <w:p w:rsidR="00000000" w:rsidDel="00000000" w:rsidP="00000000" w:rsidRDefault="00000000" w:rsidRPr="00000000" w14:paraId="000000C6">
      <w:pPr>
        <w:keepLines w:val="1"/>
        <w:numPr>
          <w:ilvl w:val="0"/>
          <w:numId w:val="3"/>
        </w:numPr>
        <w:pBdr>
          <w:top w:space="0" w:sz="0" w:val="nil"/>
          <w:left w:space="0" w:sz="0" w:val="nil"/>
          <w:bottom w:space="0" w:sz="0" w:val="nil"/>
          <w:right w:space="0" w:sz="0" w:val="nil"/>
          <w:between w:space="0" w:sz="0" w:val="nil"/>
        </w:pBdr>
        <w:ind w:left="360" w:hanging="360"/>
        <w:rPr/>
      </w:pPr>
      <w:r w:rsidDel="00000000" w:rsidR="00000000" w:rsidRPr="00000000">
        <w:rPr>
          <w:color w:val="000000"/>
          <w:rtl w:val="0"/>
        </w:rPr>
        <w:t xml:space="preserve">Theory — Although it can be used alone to help determine a market’s volatility, ATR is usually used as a qualifier in other indicators by, for example, adapting their parameters to a stock’s volatility. A stock experiencing a high level of volatility will have a higher ATR and a low volatility stock will have a lower ATR. In any time period, the range is often used as a measure of volatility. However, if the range occurred at a significantly different level than the prior range the jump up or down would not be factored in using simple range formulas. Intraday time frames do not see the jumping or gapping action as daily or weekly time frames so ATR would be less important there.</w:t>
      </w:r>
      <w:r w:rsidDel="00000000" w:rsidR="00000000" w:rsidRPr="00000000">
        <w:rPr>
          <w:rtl w:val="0"/>
        </w:rPr>
      </w:r>
    </w:p>
    <w:p w:rsidR="00000000" w:rsidDel="00000000" w:rsidP="00000000" w:rsidRDefault="00000000" w:rsidRPr="00000000" w14:paraId="000000C7">
      <w:pPr>
        <w:pStyle w:val="Heading3"/>
        <w:rPr/>
      </w:pPr>
      <w:bookmarkStart w:colFirst="0" w:colLast="0" w:name="_heading=h.48pi1tg" w:id="41"/>
      <w:bookmarkEnd w:id="41"/>
      <w:r w:rsidDel="00000000" w:rsidR="00000000" w:rsidRPr="00000000">
        <w:rPr>
          <w:rtl w:val="0"/>
        </w:rPr>
        <w:t xml:space="preserve">Bollinger Bands </w:t>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120" w:lineRule="auto"/>
        <w:rPr>
          <w:color w:val="000000"/>
          <w:shd w:fill="fefefe" w:val="clear"/>
        </w:rPr>
      </w:pPr>
      <w:r w:rsidDel="00000000" w:rsidR="00000000" w:rsidRPr="00000000">
        <w:rPr>
          <w:color w:val="000000"/>
          <w:shd w:fill="fefefe" w:val="clear"/>
          <w:rtl w:val="0"/>
        </w:rPr>
        <w:t xml:space="preserve">Bollinger bands are used to find market turning points, potential trading range breakouts, and trend exhaustion.</w:t>
      </w:r>
    </w:p>
    <w:p w:rsidR="00000000" w:rsidDel="00000000" w:rsidP="00000000" w:rsidRDefault="00000000" w:rsidRPr="00000000" w14:paraId="000000C9">
      <w:pPr>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Indicator Type — Moving average envelope</w:t>
      </w:r>
      <w:r w:rsidDel="00000000" w:rsidR="00000000" w:rsidRPr="00000000">
        <w:rPr>
          <w:rtl w:val="0"/>
        </w:rPr>
      </w:r>
    </w:p>
    <w:p w:rsidR="00000000" w:rsidDel="00000000" w:rsidP="00000000" w:rsidRDefault="00000000" w:rsidRPr="00000000" w14:paraId="000000CA">
      <w:pPr>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Markets — All cash and futures, not options</w:t>
      </w:r>
      <w:r w:rsidDel="00000000" w:rsidR="00000000" w:rsidRPr="00000000">
        <w:rPr>
          <w:rtl w:val="0"/>
        </w:rPr>
      </w:r>
    </w:p>
    <w:p w:rsidR="00000000" w:rsidDel="00000000" w:rsidP="00000000" w:rsidRDefault="00000000" w:rsidRPr="00000000" w14:paraId="000000CB">
      <w:pPr>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Works Best — All market types and time frames although daily is the most popular</w:t>
      </w:r>
      <w:r w:rsidDel="00000000" w:rsidR="00000000" w:rsidRPr="00000000">
        <w:rPr>
          <w:rtl w:val="0"/>
        </w:rPr>
      </w:r>
    </w:p>
    <w:p w:rsidR="00000000" w:rsidDel="00000000" w:rsidP="00000000" w:rsidRDefault="00000000" w:rsidRPr="00000000" w14:paraId="000000CC">
      <w:pPr>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Formula — The bands form an envelope, drawn a number of standard deviations above and below a moving average.</w:t>
      </w:r>
      <w:r w:rsidDel="00000000" w:rsidR="00000000" w:rsidRPr="00000000">
        <w:rPr>
          <w:rtl w:val="0"/>
        </w:rPr>
      </w:r>
    </w:p>
    <w:p w:rsidR="00000000" w:rsidDel="00000000" w:rsidP="00000000" w:rsidRDefault="00000000" w:rsidRPr="00000000" w14:paraId="000000CD">
      <w:pPr>
        <w:numPr>
          <w:ilvl w:val="0"/>
          <w:numId w:val="3"/>
        </w:numPr>
        <w:pBdr>
          <w:top w:space="0" w:sz="0" w:val="nil"/>
          <w:left w:space="0" w:sz="0" w:val="nil"/>
          <w:bottom w:space="0" w:sz="0" w:val="nil"/>
          <w:right w:space="0" w:sz="0" w:val="nil"/>
          <w:between w:space="0" w:sz="0" w:val="nil"/>
        </w:pBdr>
        <w:ind w:left="360" w:hanging="360"/>
        <w:rPr/>
      </w:pPr>
      <w:r w:rsidDel="00000000" w:rsidR="00000000" w:rsidRPr="00000000">
        <w:rPr>
          <w:color w:val="000000"/>
          <w:rtl w:val="0"/>
        </w:rPr>
        <w:t xml:space="preserve">Theory</w:t>
      </w:r>
      <w:r w:rsidDel="00000000" w:rsidR="00000000" w:rsidRPr="00000000">
        <w:rPr>
          <w:b w:val="1"/>
          <w:color w:val="000000"/>
          <w:rtl w:val="0"/>
        </w:rPr>
        <w:t xml:space="preserve"> — </w:t>
      </w:r>
      <w:r w:rsidDel="00000000" w:rsidR="00000000" w:rsidRPr="00000000">
        <w:rPr>
          <w:color w:val="000000"/>
          <w:rtl w:val="0"/>
        </w:rPr>
        <w:t xml:space="preserve">The theory behind the bands is that the width of an envelope should be determined by the data-series itself rather than by the assumptions of the speculator, as done with percent envelopes. In this way, the envelope’s distance from the mean is a function of the market’s volatility.</w:t>
      </w:r>
    </w:p>
    <w:p w:rsidR="00000000" w:rsidDel="00000000" w:rsidP="00000000" w:rsidRDefault="00000000" w:rsidRPr="00000000" w14:paraId="000000CE">
      <w:pPr>
        <w:pStyle w:val="Heading3"/>
        <w:rPr/>
      </w:pPr>
      <w:bookmarkStart w:colFirst="0" w:colLast="0" w:name="_heading=h.ld20g8yrrp9n" w:id="42"/>
      <w:bookmarkEnd w:id="42"/>
      <w:r w:rsidDel="00000000" w:rsidR="00000000" w:rsidRPr="00000000">
        <w:rPr>
          <w:rtl w:val="0"/>
        </w:rPr>
        <w:t xml:space="preserve">GoNoGo Trend</w:t>
      </w:r>
    </w:p>
    <w:p w:rsidR="00000000" w:rsidDel="00000000" w:rsidP="00000000" w:rsidRDefault="00000000" w:rsidRPr="00000000" w14:paraId="000000CF">
      <w:pPr>
        <w:spacing w:before="240" w:lineRule="auto"/>
        <w:ind w:left="0" w:firstLine="0"/>
        <w:rPr>
          <w:rFonts w:ascii="Calibri" w:cs="Calibri" w:eastAsia="Calibri" w:hAnsi="Calibri"/>
          <w:sz w:val="24"/>
          <w:szCs w:val="24"/>
        </w:rPr>
      </w:pPr>
      <w:r w:rsidDel="00000000" w:rsidR="00000000" w:rsidRPr="00000000">
        <w:rPr>
          <w:b w:val="1"/>
          <w:i w:val="1"/>
          <w:rtl w:val="0"/>
        </w:rPr>
        <w:t xml:space="preserve">NEW v8.7 </w:t>
      </w:r>
      <w:r w:rsidDel="00000000" w:rsidR="00000000" w:rsidRPr="00000000">
        <w:rPr>
          <w:rFonts w:ascii="Calibri" w:cs="Calibri" w:eastAsia="Calibri" w:hAnsi="Calibri"/>
          <w:sz w:val="24"/>
          <w:szCs w:val="24"/>
          <w:rtl w:val="0"/>
        </w:rPr>
        <w:t xml:space="preserve">The GoNoGo Trend study colors the price action of any security according to the strength of its trend, making it simple to identify and interpret the current trend:</w:t>
      </w:r>
    </w:p>
    <w:p w:rsidR="00000000" w:rsidDel="00000000" w:rsidP="00000000" w:rsidRDefault="00000000" w:rsidRPr="00000000" w14:paraId="000000D0">
      <w:pPr>
        <w:numPr>
          <w:ilvl w:val="0"/>
          <w:numId w:val="2"/>
        </w:numPr>
        <w:spacing w:after="0" w:lineRule="auto"/>
        <w:ind w:left="360" w:hanging="360"/>
        <w:rPr>
          <w:u w:val="none"/>
        </w:rPr>
      </w:pPr>
      <w:r w:rsidDel="00000000" w:rsidR="00000000" w:rsidRPr="00000000">
        <w:rPr>
          <w:rFonts w:ascii="Calibri" w:cs="Calibri" w:eastAsia="Calibri" w:hAnsi="Calibri"/>
          <w:sz w:val="24"/>
          <w:szCs w:val="24"/>
          <w:rtl w:val="0"/>
        </w:rPr>
        <w:t xml:space="preserve">Bright Blue price bars indicate the strongest bullish environment.</w:t>
      </w:r>
    </w:p>
    <w:p w:rsidR="00000000" w:rsidDel="00000000" w:rsidP="00000000" w:rsidRDefault="00000000" w:rsidRPr="00000000" w14:paraId="000000D1">
      <w:pPr>
        <w:numPr>
          <w:ilvl w:val="0"/>
          <w:numId w:val="2"/>
        </w:numPr>
        <w:spacing w:after="0" w:lineRule="auto"/>
        <w:ind w:left="360" w:hanging="360"/>
        <w:rPr>
          <w:u w:val="none"/>
        </w:rPr>
      </w:pPr>
      <w:r w:rsidDel="00000000" w:rsidR="00000000" w:rsidRPr="00000000">
        <w:rPr>
          <w:rFonts w:ascii="Calibri" w:cs="Calibri" w:eastAsia="Calibri" w:hAnsi="Calibri"/>
          <w:sz w:val="24"/>
          <w:szCs w:val="24"/>
          <w:rtl w:val="0"/>
        </w:rPr>
        <w:t xml:space="preserve">Aqua bars are slightly less bullish; they often occur at the start of a new trend, or as a strong bullish trend begins to weaken.</w:t>
      </w:r>
    </w:p>
    <w:p w:rsidR="00000000" w:rsidDel="00000000" w:rsidP="00000000" w:rsidRDefault="00000000" w:rsidRPr="00000000" w14:paraId="000000D2">
      <w:pPr>
        <w:numPr>
          <w:ilvl w:val="0"/>
          <w:numId w:val="2"/>
        </w:numPr>
        <w:spacing w:after="0" w:lineRule="auto"/>
        <w:ind w:left="360" w:hanging="360"/>
        <w:rPr>
          <w:u w:val="none"/>
        </w:rPr>
      </w:pPr>
      <w:r w:rsidDel="00000000" w:rsidR="00000000" w:rsidRPr="00000000">
        <w:rPr>
          <w:rFonts w:ascii="Calibri" w:cs="Calibri" w:eastAsia="Calibri" w:hAnsi="Calibri"/>
          <w:sz w:val="24"/>
          <w:szCs w:val="24"/>
          <w:rtl w:val="0"/>
        </w:rPr>
        <w:t xml:space="preserve">Amber bars represent uncertainty, often appearing in the transition from bull trend to bear trend and vice versa.</w:t>
      </w:r>
    </w:p>
    <w:p w:rsidR="00000000" w:rsidDel="00000000" w:rsidP="00000000" w:rsidRDefault="00000000" w:rsidRPr="00000000" w14:paraId="000000D3">
      <w:pPr>
        <w:numPr>
          <w:ilvl w:val="0"/>
          <w:numId w:val="2"/>
        </w:numPr>
        <w:spacing w:after="0" w:lineRule="auto"/>
        <w:ind w:left="360" w:hanging="360"/>
        <w:rPr>
          <w:u w:val="none"/>
        </w:rPr>
      </w:pPr>
      <w:r w:rsidDel="00000000" w:rsidR="00000000" w:rsidRPr="00000000">
        <w:rPr>
          <w:rFonts w:ascii="Calibri" w:cs="Calibri" w:eastAsia="Calibri" w:hAnsi="Calibri"/>
          <w:sz w:val="24"/>
          <w:szCs w:val="24"/>
          <w:rtl w:val="0"/>
        </w:rPr>
        <w:t xml:space="preserve">Pink bars indicate a lower intensity bearish environment</w:t>
      </w:r>
    </w:p>
    <w:p w:rsidR="00000000" w:rsidDel="00000000" w:rsidP="00000000" w:rsidRDefault="00000000" w:rsidRPr="00000000" w14:paraId="000000D4">
      <w:pPr>
        <w:numPr>
          <w:ilvl w:val="0"/>
          <w:numId w:val="2"/>
        </w:numPr>
        <w:spacing w:after="0" w:lineRule="auto"/>
        <w:ind w:left="360" w:hanging="360"/>
        <w:rPr>
          <w:u w:val="none"/>
        </w:rPr>
      </w:pPr>
      <w:r w:rsidDel="00000000" w:rsidR="00000000" w:rsidRPr="00000000">
        <w:rPr>
          <w:rFonts w:ascii="Calibri" w:cs="Calibri" w:eastAsia="Calibri" w:hAnsi="Calibri"/>
          <w:sz w:val="24"/>
          <w:szCs w:val="24"/>
          <w:rtl w:val="0"/>
        </w:rPr>
        <w:t xml:space="preserve">Dark Purple bars are shown when the bearish trend intensifies.</w:t>
      </w:r>
    </w:p>
    <w:p w:rsidR="00000000" w:rsidDel="00000000" w:rsidP="00000000" w:rsidRDefault="00000000" w:rsidRPr="00000000" w14:paraId="000000D5">
      <w:pPr>
        <w:spacing w:after="0" w:lineRule="auto"/>
        <w:ind w:left="108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D6">
      <w:pPr>
        <w:spacing w:after="22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“Go” and “NoGo” labels on the chart mark transitions to bull or bear trends, respectively.</w:t>
      </w:r>
      <w:r w:rsidDel="00000000" w:rsidR="00000000" w:rsidRPr="00000000">
        <w:rPr>
          <w:rtl w:val="0"/>
        </w:rPr>
      </w:r>
    </w:p>
    <w:p w:rsidR="00000000" w:rsidDel="00000000" w:rsidP="00000000" w:rsidRDefault="00000000" w:rsidRPr="00000000" w14:paraId="000000D7">
      <w:pPr>
        <w:pStyle w:val="Heading3"/>
        <w:rPr/>
      </w:pPr>
      <w:bookmarkStart w:colFirst="0" w:colLast="0" w:name="_heading=h.2nusc19" w:id="43"/>
      <w:bookmarkEnd w:id="43"/>
      <w:r w:rsidDel="00000000" w:rsidR="00000000" w:rsidRPr="00000000">
        <w:rPr>
          <w:rtl w:val="0"/>
        </w:rPr>
        <w:t xml:space="preserve">Moving Average</w:t>
      </w:r>
    </w:p>
    <w:p w:rsidR="00000000" w:rsidDel="00000000" w:rsidP="00000000" w:rsidRDefault="00000000" w:rsidRPr="00000000" w14:paraId="000000D8">
      <w:pPr>
        <w:keepNext w:val="1"/>
        <w:pBdr>
          <w:top w:space="0" w:sz="0" w:val="nil"/>
          <w:left w:space="0" w:sz="0" w:val="nil"/>
          <w:bottom w:space="0" w:sz="0" w:val="nil"/>
          <w:right w:space="0" w:sz="0" w:val="nil"/>
          <w:between w:space="0" w:sz="0" w:val="nil"/>
        </w:pBdr>
        <w:spacing w:after="120" w:lineRule="auto"/>
        <w:rPr>
          <w:color w:val="000000"/>
          <w:shd w:fill="fefefe" w:val="clear"/>
        </w:rPr>
      </w:pPr>
      <w:r w:rsidDel="00000000" w:rsidR="00000000" w:rsidRPr="00000000">
        <w:rPr>
          <w:color w:val="000000"/>
          <w:shd w:fill="fefefe" w:val="clear"/>
          <w:rtl w:val="0"/>
        </w:rPr>
        <w:t xml:space="preserve">Moving averages are used to smooth out market volatility and identify changes in trend. </w:t>
      </w:r>
    </w:p>
    <w:p w:rsidR="00000000" w:rsidDel="00000000" w:rsidP="00000000" w:rsidRDefault="00000000" w:rsidRPr="00000000" w14:paraId="000000D9">
      <w:pPr>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Indicator Type — Trend follower</w:t>
      </w:r>
      <w:r w:rsidDel="00000000" w:rsidR="00000000" w:rsidRPr="00000000">
        <w:rPr>
          <w:rtl w:val="0"/>
        </w:rPr>
      </w:r>
    </w:p>
    <w:p w:rsidR="00000000" w:rsidDel="00000000" w:rsidP="00000000" w:rsidRDefault="00000000" w:rsidRPr="00000000" w14:paraId="000000DA">
      <w:pPr>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Markets — All cash and futures, not options</w:t>
      </w:r>
      <w:r w:rsidDel="00000000" w:rsidR="00000000" w:rsidRPr="00000000">
        <w:rPr>
          <w:rtl w:val="0"/>
        </w:rPr>
      </w:r>
    </w:p>
    <w:p w:rsidR="00000000" w:rsidDel="00000000" w:rsidP="00000000" w:rsidRDefault="00000000" w:rsidRPr="00000000" w14:paraId="000000DB">
      <w:pPr>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Works Best — Trending markets</w:t>
      </w:r>
      <w:r w:rsidDel="00000000" w:rsidR="00000000" w:rsidRPr="00000000">
        <w:rPr>
          <w:rtl w:val="0"/>
        </w:rPr>
      </w:r>
    </w:p>
    <w:p w:rsidR="00000000" w:rsidDel="00000000" w:rsidP="00000000" w:rsidRDefault="00000000" w:rsidRPr="00000000" w14:paraId="000000DC">
      <w:pPr>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Formula — Moving averages can be calculated from open, high, low, close or some combination of these values. Simple averages are statistical means of the data. Other averages assign higher significance to recent data than to older data.</w:t>
      </w:r>
      <w:r w:rsidDel="00000000" w:rsidR="00000000" w:rsidRPr="00000000">
        <w:rPr>
          <w:rtl w:val="0"/>
        </w:rPr>
      </w:r>
    </w:p>
    <w:p w:rsidR="00000000" w:rsidDel="00000000" w:rsidP="00000000" w:rsidRDefault="00000000" w:rsidRPr="00000000" w14:paraId="000000DD">
      <w:pPr>
        <w:numPr>
          <w:ilvl w:val="0"/>
          <w:numId w:val="3"/>
        </w:numPr>
        <w:pBdr>
          <w:top w:space="0" w:sz="0" w:val="nil"/>
          <w:left w:space="0" w:sz="0" w:val="nil"/>
          <w:bottom w:space="0" w:sz="0" w:val="nil"/>
          <w:right w:space="0" w:sz="0" w:val="nil"/>
          <w:between w:space="0" w:sz="0" w:val="nil"/>
        </w:pBdr>
        <w:ind w:left="360" w:hanging="360"/>
        <w:rPr/>
      </w:pPr>
      <w:r w:rsidDel="00000000" w:rsidR="00000000" w:rsidRPr="00000000">
        <w:rPr>
          <w:color w:val="000000"/>
          <w:rtl w:val="0"/>
        </w:rPr>
        <w:t xml:space="preserve">Theory — The direction of the moving average (higher, lower, or flat) indicates the trend of the market and its slope indicates the strength of the trend. Longer averages are used to identify long-term trends and shorter averages are used to identify short-term trends. Many trading systems utilize moving averages as independent variables, and market analysts frequently use moving averages to confirm technical breakouts.</w:t>
      </w: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120" w:lineRule="auto"/>
        <w:rPr>
          <w:color w:val="000000"/>
          <w:shd w:fill="fefefe" w:val="clear"/>
        </w:rPr>
      </w:pPr>
      <w:r w:rsidDel="00000000" w:rsidR="00000000" w:rsidRPr="00000000">
        <w:rPr>
          <w:color w:val="000000"/>
          <w:shd w:fill="fefefe" w:val="clear"/>
          <w:rtl w:val="0"/>
        </w:rPr>
        <w:t xml:space="preserve">You have a choice of several average types:</w:t>
      </w:r>
    </w:p>
    <w:p w:rsidR="00000000" w:rsidDel="00000000" w:rsidP="00000000" w:rsidRDefault="00000000" w:rsidRPr="00000000" w14:paraId="000000DF">
      <w:pPr>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Simple — Mean (average) of the data.</w:t>
      </w:r>
      <w:r w:rsidDel="00000000" w:rsidR="00000000" w:rsidRPr="00000000">
        <w:rPr>
          <w:rtl w:val="0"/>
        </w:rPr>
      </w:r>
    </w:p>
    <w:p w:rsidR="00000000" w:rsidDel="00000000" w:rsidP="00000000" w:rsidRDefault="00000000" w:rsidRPr="00000000" w14:paraId="000000E0">
      <w:pPr>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Exponential — Newer data is weighted more heavily geometrically.</w:t>
      </w:r>
      <w:r w:rsidDel="00000000" w:rsidR="00000000" w:rsidRPr="00000000">
        <w:rPr>
          <w:rtl w:val="0"/>
        </w:rPr>
      </w:r>
    </w:p>
    <w:p w:rsidR="00000000" w:rsidDel="00000000" w:rsidP="00000000" w:rsidRDefault="00000000" w:rsidRPr="00000000" w14:paraId="000000E1">
      <w:pPr>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Time series — Calculates a linear regression trend line using the “least squares fit” method.</w:t>
      </w:r>
      <w:r w:rsidDel="00000000" w:rsidR="00000000" w:rsidRPr="00000000">
        <w:rPr>
          <w:rtl w:val="0"/>
        </w:rPr>
      </w:r>
    </w:p>
    <w:p w:rsidR="00000000" w:rsidDel="00000000" w:rsidP="00000000" w:rsidRDefault="00000000" w:rsidRPr="00000000" w14:paraId="000000E2">
      <w:pPr>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Triangular — Weighted average where the middle data are given the most weight, decreasing linearly to the end points.</w:t>
      </w:r>
      <w:r w:rsidDel="00000000" w:rsidR="00000000" w:rsidRPr="00000000">
        <w:rPr>
          <w:rtl w:val="0"/>
        </w:rPr>
      </w:r>
    </w:p>
    <w:p w:rsidR="00000000" w:rsidDel="00000000" w:rsidP="00000000" w:rsidRDefault="00000000" w:rsidRPr="00000000" w14:paraId="000000E3">
      <w:pPr>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Variable — An exponential moving average with a volatility index factored into the smoothing formula. The variable moving average uses the Chande Momentum Oscillator as the volatility index.</w:t>
      </w:r>
      <w:r w:rsidDel="00000000" w:rsidR="00000000" w:rsidRPr="00000000">
        <w:rPr>
          <w:rtl w:val="0"/>
        </w:rPr>
      </w:r>
    </w:p>
    <w:p w:rsidR="00000000" w:rsidDel="00000000" w:rsidP="00000000" w:rsidRDefault="00000000" w:rsidRPr="00000000" w14:paraId="000000E4">
      <w:pPr>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VIDYA — An exponential moving average with a volatility index factored into the smoothing formula. The VIDYA (Volatility Index Dynamic Average) moving average uses the standard deviation as the volatility index. </w:t>
      </w:r>
      <w:r w:rsidDel="00000000" w:rsidR="00000000" w:rsidRPr="00000000">
        <w:rPr>
          <w:rtl w:val="0"/>
        </w:rPr>
      </w:r>
    </w:p>
    <w:p w:rsidR="00000000" w:rsidDel="00000000" w:rsidP="00000000" w:rsidRDefault="00000000" w:rsidRPr="00000000" w14:paraId="000000E5">
      <w:pPr>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Weighted — Newer data are weighted more heavily arithmetically.</w:t>
      </w:r>
      <w:r w:rsidDel="00000000" w:rsidR="00000000" w:rsidRPr="00000000">
        <w:rPr>
          <w:rtl w:val="0"/>
        </w:rPr>
      </w:r>
    </w:p>
    <w:p w:rsidR="00000000" w:rsidDel="00000000" w:rsidP="00000000" w:rsidRDefault="00000000" w:rsidRPr="00000000" w14:paraId="000000E6">
      <w:pPr>
        <w:numPr>
          <w:ilvl w:val="0"/>
          <w:numId w:val="3"/>
        </w:numPr>
        <w:pBdr>
          <w:top w:space="0" w:sz="0" w:val="nil"/>
          <w:left w:space="0" w:sz="0" w:val="nil"/>
          <w:bottom w:space="0" w:sz="0" w:val="nil"/>
          <w:right w:space="0" w:sz="0" w:val="nil"/>
          <w:between w:space="0" w:sz="0" w:val="nil"/>
        </w:pBdr>
        <w:ind w:left="360" w:hanging="360"/>
        <w:rPr/>
      </w:pPr>
      <w:r w:rsidDel="00000000" w:rsidR="00000000" w:rsidRPr="00000000">
        <w:rPr>
          <w:color w:val="000000"/>
          <w:rtl w:val="0"/>
        </w:rPr>
        <w:t xml:space="preserve">Welles wilder — The standard exponential moving average formula converts the time period to a fraction using the formula EMA% = 2/(n + 1) where n is the number of days. For example, the EMA% for 14 days is 2/(14 days +1) = 13.3%. Wilder, however, uses an EMA% of 1/14 (1/n) which equals 7.1%. This equates to a 27-day exponential moving average using the standard formula.</w:t>
      </w:r>
      <w:r w:rsidDel="00000000" w:rsidR="00000000" w:rsidRPr="00000000">
        <w:rPr>
          <w:rtl w:val="0"/>
        </w:rPr>
      </w:r>
    </w:p>
    <w:p w:rsidR="00000000" w:rsidDel="00000000" w:rsidP="00000000" w:rsidRDefault="00000000" w:rsidRPr="00000000" w14:paraId="000000E7">
      <w:pPr>
        <w:pStyle w:val="Heading3"/>
        <w:rPr/>
      </w:pPr>
      <w:bookmarkStart w:colFirst="0" w:colLast="0" w:name="_heading=h.1302m92" w:id="44"/>
      <w:bookmarkEnd w:id="44"/>
      <w:r w:rsidDel="00000000" w:rsidR="00000000" w:rsidRPr="00000000">
        <w:rPr>
          <w:rtl w:val="0"/>
        </w:rPr>
        <w:t xml:space="preserve">Moving Average Convergence Divergence (MACD)</w:t>
      </w:r>
    </w:p>
    <w:p w:rsidR="00000000" w:rsidDel="00000000" w:rsidP="00000000" w:rsidRDefault="00000000" w:rsidRPr="00000000" w14:paraId="000000E8">
      <w:pPr>
        <w:keepNext w:val="1"/>
        <w:pBdr>
          <w:top w:space="0" w:sz="0" w:val="nil"/>
          <w:left w:space="0" w:sz="0" w:val="nil"/>
          <w:bottom w:space="0" w:sz="0" w:val="nil"/>
          <w:right w:space="0" w:sz="0" w:val="nil"/>
          <w:between w:space="0" w:sz="0" w:val="nil"/>
        </w:pBdr>
        <w:spacing w:after="120" w:lineRule="auto"/>
        <w:rPr>
          <w:color w:val="000000"/>
          <w:shd w:fill="fefefe" w:val="clear"/>
        </w:rPr>
      </w:pPr>
      <w:r w:rsidDel="00000000" w:rsidR="00000000" w:rsidRPr="00000000">
        <w:rPr>
          <w:color w:val="000000"/>
          <w:shd w:fill="fefefe" w:val="clear"/>
          <w:rtl w:val="0"/>
        </w:rPr>
        <w:t xml:space="preserve">MACD is used to identify overbought and oversold conditions.</w:t>
      </w:r>
    </w:p>
    <w:p w:rsidR="00000000" w:rsidDel="00000000" w:rsidP="00000000" w:rsidRDefault="00000000" w:rsidRPr="00000000" w14:paraId="000000E9">
      <w:pPr>
        <w:keepNext w:val="1"/>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Indicator Type — Momentum oscillator</w:t>
      </w:r>
      <w:r w:rsidDel="00000000" w:rsidR="00000000" w:rsidRPr="00000000">
        <w:rPr>
          <w:rtl w:val="0"/>
        </w:rPr>
      </w:r>
    </w:p>
    <w:p w:rsidR="00000000" w:rsidDel="00000000" w:rsidP="00000000" w:rsidRDefault="00000000" w:rsidRPr="00000000" w14:paraId="000000EA">
      <w:pPr>
        <w:keepNext w:val="1"/>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Markets — All cash and futures, not options</w:t>
      </w:r>
      <w:r w:rsidDel="00000000" w:rsidR="00000000" w:rsidRPr="00000000">
        <w:rPr>
          <w:rtl w:val="0"/>
        </w:rPr>
      </w:r>
    </w:p>
    <w:p w:rsidR="00000000" w:rsidDel="00000000" w:rsidP="00000000" w:rsidRDefault="00000000" w:rsidRPr="00000000" w14:paraId="000000EB">
      <w:pPr>
        <w:keepNext w:val="1"/>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Works Best — Wide-swinging trading ranges and at the conclusion of strong trends</w:t>
      </w:r>
      <w:r w:rsidDel="00000000" w:rsidR="00000000" w:rsidRPr="00000000">
        <w:rPr>
          <w:rtl w:val="0"/>
        </w:rPr>
      </w:r>
    </w:p>
    <w:p w:rsidR="00000000" w:rsidDel="00000000" w:rsidP="00000000" w:rsidRDefault="00000000" w:rsidRPr="00000000" w14:paraId="000000EC">
      <w:pPr>
        <w:keepNext w:val="1"/>
        <w:keepLines w:val="1"/>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Formula — The MACD indicator makes use of three moving averages, usually of the exponential variety. Two are averages of price, and the third is an average of the difference of the other two. The MACD line is generated from the first two averages, subtracting the longer from the shorter. The signal line is simply a moving average of the MACD line.</w:t>
      </w:r>
      <w:r w:rsidDel="00000000" w:rsidR="00000000" w:rsidRPr="00000000">
        <w:rPr>
          <w:rtl w:val="0"/>
        </w:rPr>
      </w:r>
    </w:p>
    <w:p w:rsidR="00000000" w:rsidDel="00000000" w:rsidP="00000000" w:rsidRDefault="00000000" w:rsidRPr="00000000" w14:paraId="000000ED">
      <w:pPr>
        <w:numPr>
          <w:ilvl w:val="0"/>
          <w:numId w:val="3"/>
        </w:numPr>
        <w:pBdr>
          <w:top w:space="0" w:sz="0" w:val="nil"/>
          <w:left w:space="0" w:sz="0" w:val="nil"/>
          <w:bottom w:space="0" w:sz="0" w:val="nil"/>
          <w:right w:space="0" w:sz="0" w:val="nil"/>
          <w:between w:space="0" w:sz="0" w:val="nil"/>
        </w:pBdr>
        <w:ind w:left="360" w:hanging="360"/>
        <w:rPr/>
      </w:pPr>
      <w:r w:rsidDel="00000000" w:rsidR="00000000" w:rsidRPr="00000000">
        <w:rPr>
          <w:color w:val="000000"/>
          <w:rtl w:val="0"/>
        </w:rPr>
        <w:t xml:space="preserve">Theory — In an upward and smoothly trending market, a longer average will be increasing. A short average, being more sensitive to normal price fluctuations within the trend, will show more changes in direction. If the two averages are plotted together, the shorter average will oscillate around the longer average. A strong near-term rally will cause the difference between the two moving averages to increase until an extreme value is reached. This signals an overbought condition. Conversely, in a down market, spreads will become negative until an extreme is reached, indicating an oversold condition.</w:t>
      </w:r>
      <w:r w:rsidDel="00000000" w:rsidR="00000000" w:rsidRPr="00000000">
        <w:rPr>
          <w:rtl w:val="0"/>
        </w:rPr>
      </w:r>
    </w:p>
    <w:p w:rsidR="00000000" w:rsidDel="00000000" w:rsidP="00000000" w:rsidRDefault="00000000" w:rsidRPr="00000000" w14:paraId="000000EE">
      <w:pPr>
        <w:pStyle w:val="Heading3"/>
        <w:rPr>
          <w:highlight w:val="white"/>
        </w:rPr>
      </w:pPr>
      <w:bookmarkStart w:colFirst="0" w:colLast="0" w:name="_heading=h.3mzq4wv" w:id="45"/>
      <w:bookmarkEnd w:id="45"/>
      <w:r w:rsidDel="00000000" w:rsidR="00000000" w:rsidRPr="00000000">
        <w:rPr>
          <w:highlight w:val="white"/>
          <w:rtl w:val="0"/>
        </w:rPr>
        <w:t xml:space="preserve">Option Sentiment by Strike</w:t>
      </w:r>
    </w:p>
    <w:p w:rsidR="00000000" w:rsidDel="00000000" w:rsidP="00000000" w:rsidRDefault="00000000" w:rsidRPr="00000000" w14:paraId="000000EF">
      <w:pPr>
        <w:keepNext w:val="1"/>
        <w:keepLines w:val="1"/>
        <w:rPr>
          <w:highlight w:val="white"/>
        </w:rPr>
      </w:pPr>
      <w:r w:rsidDel="00000000" w:rsidR="00000000" w:rsidRPr="00000000">
        <w:rPr>
          <w:b w:val="1"/>
          <w:i w:val="1"/>
          <w:rtl w:val="0"/>
        </w:rPr>
        <w:t xml:space="preserve">NEW v8.1</w:t>
      </w:r>
      <w:r w:rsidDel="00000000" w:rsidR="00000000" w:rsidRPr="00000000">
        <w:rPr>
          <w:rtl w:val="0"/>
        </w:rPr>
        <w:t xml:space="preserve"> </w:t>
      </w:r>
      <w:r w:rsidDel="00000000" w:rsidR="00000000" w:rsidRPr="00000000">
        <w:rPr>
          <w:highlight w:val="white"/>
          <w:rtl w:val="0"/>
        </w:rPr>
        <w:t xml:space="preserve">The Option Sentiment by Strike study enables traders to quickly interpret options activity for a security. </w:t>
      </w:r>
    </w:p>
    <w:p w:rsidR="00000000" w:rsidDel="00000000" w:rsidP="00000000" w:rsidRDefault="00000000" w:rsidRPr="00000000" w14:paraId="000000F0">
      <w:pPr>
        <w:keepNext w:val="1"/>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Indicator Type — Price Support and Resistance </w:t>
      </w:r>
      <w:r w:rsidDel="00000000" w:rsidR="00000000" w:rsidRPr="00000000">
        <w:rPr>
          <w:rtl w:val="0"/>
        </w:rPr>
      </w:r>
    </w:p>
    <w:p w:rsidR="00000000" w:rsidDel="00000000" w:rsidP="00000000" w:rsidRDefault="00000000" w:rsidRPr="00000000" w14:paraId="000000F1">
      <w:pPr>
        <w:keepNext w:val="1"/>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Markets — Listed markets with options contracts</w:t>
      </w:r>
      <w:r w:rsidDel="00000000" w:rsidR="00000000" w:rsidRPr="00000000">
        <w:rPr>
          <w:rtl w:val="0"/>
        </w:rPr>
      </w:r>
    </w:p>
    <w:p w:rsidR="00000000" w:rsidDel="00000000" w:rsidP="00000000" w:rsidRDefault="00000000" w:rsidRPr="00000000" w14:paraId="000000F2">
      <w:pPr>
        <w:keepNext w:val="1"/>
        <w:keepLines w:val="1"/>
        <w:numPr>
          <w:ilvl w:val="0"/>
          <w:numId w:val="4"/>
        </w:numPr>
        <w:pBdr>
          <w:top w:space="0" w:sz="0" w:val="nil"/>
          <w:left w:space="0" w:sz="0" w:val="nil"/>
          <w:bottom w:space="0" w:sz="0" w:val="nil"/>
          <w:right w:space="0" w:sz="0" w:val="nil"/>
          <w:between w:space="0" w:sz="0" w:val="nil"/>
        </w:pBdr>
        <w:spacing w:after="120" w:lineRule="auto"/>
        <w:ind w:left="360" w:hanging="360"/>
        <w:rPr>
          <w:color w:val="000000"/>
          <w:highlight w:val="white"/>
        </w:rPr>
      </w:pPr>
      <w:r w:rsidDel="00000000" w:rsidR="00000000" w:rsidRPr="00000000">
        <w:rPr>
          <w:color w:val="000000"/>
          <w:rtl w:val="0"/>
        </w:rPr>
        <w:t xml:space="preserve">Works Best — Historical periodicities</w:t>
      </w:r>
      <w:r w:rsidDel="00000000" w:rsidR="00000000" w:rsidRPr="00000000">
        <w:rPr>
          <w:rtl w:val="0"/>
        </w:rPr>
      </w:r>
    </w:p>
    <w:p w:rsidR="00000000" w:rsidDel="00000000" w:rsidP="00000000" w:rsidRDefault="00000000" w:rsidRPr="00000000" w14:paraId="000000F3">
      <w:pPr>
        <w:keepNext w:val="1"/>
        <w:keepLines w:val="1"/>
        <w:numPr>
          <w:ilvl w:val="0"/>
          <w:numId w:val="4"/>
        </w:numPr>
        <w:pBdr>
          <w:top w:space="0" w:sz="0" w:val="nil"/>
          <w:left w:space="0" w:sz="0" w:val="nil"/>
          <w:bottom w:space="0" w:sz="0" w:val="nil"/>
          <w:right w:space="0" w:sz="0" w:val="nil"/>
          <w:between w:space="0" w:sz="0" w:val="nil"/>
        </w:pBdr>
        <w:spacing w:after="120" w:lineRule="auto"/>
        <w:ind w:left="360" w:hanging="360"/>
        <w:rPr>
          <w:color w:val="000000"/>
          <w:highlight w:val="white"/>
        </w:rPr>
      </w:pPr>
      <w:r w:rsidDel="00000000" w:rsidR="00000000" w:rsidRPr="00000000">
        <w:rPr>
          <w:color w:val="000000"/>
          <w:rtl w:val="0"/>
        </w:rPr>
        <w:t xml:space="preserve">Formula — </w:t>
      </w:r>
      <w:r w:rsidDel="00000000" w:rsidR="00000000" w:rsidRPr="00000000">
        <w:rPr>
          <w:color w:val="000000"/>
          <w:highlight w:val="white"/>
          <w:rtl w:val="0"/>
        </w:rPr>
        <w:t xml:space="preserve">The study overlays a profile of the volume or open interest of option contracts at each strike price for a security’s most current data point. Calls and puts are graphed as separate, adjacent horizontal bars, allowing the user to understand any bias within the two option types.</w:t>
      </w:r>
    </w:p>
    <w:p w:rsidR="00000000" w:rsidDel="00000000" w:rsidP="00000000" w:rsidRDefault="00000000" w:rsidRPr="00000000" w14:paraId="000000F4">
      <w:pPr>
        <w:keepNext w:val="1"/>
        <w:keepLines w:val="1"/>
        <w:numPr>
          <w:ilvl w:val="0"/>
          <w:numId w:val="3"/>
        </w:numPr>
        <w:pBdr>
          <w:top w:space="0" w:sz="0" w:val="nil"/>
          <w:left w:space="0" w:sz="0" w:val="nil"/>
          <w:bottom w:space="0" w:sz="0" w:val="nil"/>
          <w:right w:space="0" w:sz="0" w:val="nil"/>
          <w:between w:space="0" w:sz="0" w:val="nil"/>
        </w:pBdr>
        <w:spacing w:after="360" w:lineRule="auto"/>
        <w:ind w:left="360" w:hanging="360"/>
        <w:rPr>
          <w:color w:val="000000"/>
          <w:highlight w:val="white"/>
        </w:rPr>
      </w:pPr>
      <w:r w:rsidDel="00000000" w:rsidR="00000000" w:rsidRPr="00000000">
        <w:rPr>
          <w:color w:val="000000"/>
          <w:rtl w:val="0"/>
        </w:rPr>
        <w:t xml:space="preserve">Theory — Displaying the actual market activity within a security’s corresponding derivative market allows the user to understand positioning and bias within that market. The study may be combined with any other price-based analytics to understand market support and resistance points.</w:t>
      </w: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after="120" w:lineRule="auto"/>
        <w:rPr>
          <w:color w:val="000000"/>
          <w:shd w:fill="fefefe" w:val="clear"/>
        </w:rPr>
      </w:pPr>
      <w:r w:rsidDel="00000000" w:rsidR="00000000" w:rsidRPr="00000000">
        <w:rPr>
          <w:color w:val="000000"/>
          <w:shd w:fill="fefefe" w:val="clear"/>
        </w:rPr>
        <w:drawing>
          <wp:inline distB="0" distT="0" distL="0" distR="0">
            <wp:extent cx="5943600" cy="3008630"/>
            <wp:effectExtent b="0" l="0" r="0" t="0"/>
            <wp:docPr descr="Chart, waterfall chart&#10;&#10;Description automatically generated" id="327" name="image7.png"/>
            <a:graphic>
              <a:graphicData uri="http://schemas.openxmlformats.org/drawingml/2006/picture">
                <pic:pic>
                  <pic:nvPicPr>
                    <pic:cNvPr descr="Chart, waterfall chart&#10;&#10;Description automatically generated" id="0" name="image7.png"/>
                    <pic:cNvPicPr preferRelativeResize="0"/>
                  </pic:nvPicPr>
                  <pic:blipFill>
                    <a:blip r:embed="rId39"/>
                    <a:srcRect b="0" l="0" r="0" t="0"/>
                    <a:stretch>
                      <a:fillRect/>
                    </a:stretch>
                  </pic:blipFill>
                  <pic:spPr>
                    <a:xfrm>
                      <a:off x="0" y="0"/>
                      <a:ext cx="5943600" cy="300863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before="80" w:lineRule="auto"/>
        <w:ind w:right="-180"/>
        <w:rPr>
          <w:i w:val="1"/>
          <w:color w:val="000000"/>
          <w:sz w:val="18"/>
          <w:szCs w:val="18"/>
        </w:rPr>
      </w:pPr>
      <w:bookmarkStart w:colFirst="0" w:colLast="0" w:name="_heading=h.2lwamvv" w:id="46"/>
      <w:bookmarkEnd w:id="46"/>
      <w:r w:rsidDel="00000000" w:rsidR="00000000" w:rsidRPr="00000000">
        <w:rPr>
          <w:b w:val="1"/>
          <w:i w:val="1"/>
          <w:color w:val="000000"/>
          <w:sz w:val="18"/>
          <w:szCs w:val="18"/>
          <w:highlight w:val="white"/>
          <w:rtl w:val="0"/>
        </w:rPr>
        <w:t xml:space="preserve">Figure.</w:t>
      </w:r>
      <w:r w:rsidDel="00000000" w:rsidR="00000000" w:rsidRPr="00000000">
        <w:rPr>
          <w:i w:val="1"/>
          <w:color w:val="000000"/>
          <w:sz w:val="18"/>
          <w:szCs w:val="18"/>
          <w:highlight w:val="white"/>
          <w:rtl w:val="0"/>
        </w:rPr>
        <w:t xml:space="preserve"> </w:t>
      </w:r>
      <w:r w:rsidDel="00000000" w:rsidR="00000000" w:rsidRPr="00000000">
        <w:rPr>
          <w:color w:val="24292e"/>
          <w:sz w:val="18"/>
          <w:szCs w:val="18"/>
          <w:highlight w:val="white"/>
          <w:rtl w:val="0"/>
        </w:rPr>
        <w:t xml:space="preserve">Option Sentiment by Strike study showing volume of calls (tan bar) and puts (purple bar) at various strike prices.</w:t>
      </w:r>
      <w:r w:rsidDel="00000000" w:rsidR="00000000" w:rsidRPr="00000000">
        <w:rPr>
          <w:rtl w:val="0"/>
        </w:rPr>
      </w:r>
    </w:p>
    <w:p w:rsidR="00000000" w:rsidDel="00000000" w:rsidP="00000000" w:rsidRDefault="00000000" w:rsidRPr="00000000" w14:paraId="000000F7">
      <w:pPr>
        <w:pStyle w:val="Heading3"/>
        <w:rPr/>
      </w:pPr>
      <w:bookmarkStart w:colFirst="0" w:colLast="0" w:name="_heading=h.2250f4o" w:id="47"/>
      <w:bookmarkEnd w:id="47"/>
      <w:r w:rsidDel="00000000" w:rsidR="00000000" w:rsidRPr="00000000">
        <w:rPr>
          <w:rtl w:val="0"/>
        </w:rPr>
        <w:t xml:space="preserve">Projected Aggregate Volume</w:t>
      </w:r>
    </w:p>
    <w:p w:rsidR="00000000" w:rsidDel="00000000" w:rsidP="00000000" w:rsidRDefault="00000000" w:rsidRPr="00000000" w14:paraId="000000F8">
      <w:pPr>
        <w:keepNext w:val="1"/>
        <w:keepLines w:val="1"/>
        <w:rPr>
          <w:color w:val="24292e"/>
          <w:highlight w:val="white"/>
        </w:rPr>
      </w:pPr>
      <w:r w:rsidDel="00000000" w:rsidR="00000000" w:rsidRPr="00000000">
        <w:rPr>
          <w:b w:val="1"/>
          <w:i w:val="1"/>
          <w:rtl w:val="0"/>
        </w:rPr>
        <w:t xml:space="preserve">NEW v8.0</w:t>
      </w:r>
      <w:r w:rsidDel="00000000" w:rsidR="00000000" w:rsidRPr="00000000">
        <w:rPr>
          <w:rtl w:val="0"/>
        </w:rPr>
        <w:t xml:space="preserve"> </w:t>
      </w:r>
      <w:r w:rsidDel="00000000" w:rsidR="00000000" w:rsidRPr="00000000">
        <w:rPr>
          <w:color w:val="24292e"/>
          <w:highlight w:val="white"/>
          <w:rtl w:val="0"/>
        </w:rPr>
        <w:t xml:space="preserve">Projected Aggregate Volume (PAV) is an aggregation of the day’s trading volume up to the current time along with a projection of the aggregate volume for the remainder of the trading day. The study reveals whether the trend in trading volume is above or below average and provides a forecast of volume for the rest of the day. </w:t>
      </w:r>
      <w:r w:rsidDel="00000000" w:rsidR="00000000" w:rsidRPr="00000000">
        <w:rPr>
          <w:b w:val="1"/>
          <w:color w:val="24292e"/>
          <w:highlight w:val="white"/>
          <w:rtl w:val="0"/>
        </w:rPr>
        <w:t xml:space="preserve">Note:</w:t>
      </w:r>
      <w:r w:rsidDel="00000000" w:rsidR="00000000" w:rsidRPr="00000000">
        <w:rPr>
          <w:color w:val="24292e"/>
          <w:highlight w:val="white"/>
          <w:rtl w:val="0"/>
        </w:rPr>
        <w:t xml:space="preserve"> This study is displayed ONLY for intraday periodicities.</w:t>
      </w:r>
    </w:p>
    <w:p w:rsidR="00000000" w:rsidDel="00000000" w:rsidP="00000000" w:rsidRDefault="00000000" w:rsidRPr="00000000" w14:paraId="000000F9">
      <w:pPr>
        <w:keepNext w:val="1"/>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Indicator Type — Intraday activity indicator.</w:t>
      </w:r>
      <w:r w:rsidDel="00000000" w:rsidR="00000000" w:rsidRPr="00000000">
        <w:rPr>
          <w:rtl w:val="0"/>
        </w:rPr>
      </w:r>
    </w:p>
    <w:p w:rsidR="00000000" w:rsidDel="00000000" w:rsidP="00000000" w:rsidRDefault="00000000" w:rsidRPr="00000000" w14:paraId="000000FA">
      <w:pPr>
        <w:keepNext w:val="1"/>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Markets — All exchange-traded instruments with liquidity throughout the trading day.</w:t>
      </w:r>
      <w:r w:rsidDel="00000000" w:rsidR="00000000" w:rsidRPr="00000000">
        <w:rPr>
          <w:rtl w:val="0"/>
        </w:rPr>
      </w:r>
    </w:p>
    <w:p w:rsidR="00000000" w:rsidDel="00000000" w:rsidP="00000000" w:rsidRDefault="00000000" w:rsidRPr="00000000" w14:paraId="000000FB">
      <w:pPr>
        <w:keepNext w:val="1"/>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Works Best — Intraday analysis of equities and futures.</w:t>
      </w:r>
      <w:r w:rsidDel="00000000" w:rsidR="00000000" w:rsidRPr="00000000">
        <w:rPr>
          <w:rtl w:val="0"/>
        </w:rPr>
      </w:r>
    </w:p>
    <w:p w:rsidR="00000000" w:rsidDel="00000000" w:rsidP="00000000" w:rsidRDefault="00000000" w:rsidRPr="00000000" w14:paraId="000000FC">
      <w:pPr>
        <w:keepNext w:val="1"/>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Theory — </w:t>
      </w:r>
      <w:r w:rsidDel="00000000" w:rsidR="00000000" w:rsidRPr="00000000">
        <w:rPr>
          <w:color w:val="24292e"/>
          <w:highlight w:val="white"/>
          <w:rtl w:val="0"/>
        </w:rPr>
        <w:t xml:space="preserve">The study enables traders to identify unusual volume activity in real time.  Traders can see whether today’s aggregate volume activity is above or below average relative to recent activity. </w:t>
      </w:r>
      <w:r w:rsidDel="00000000" w:rsidR="00000000" w:rsidRPr="00000000">
        <w:rPr>
          <w:rtl w:val="0"/>
        </w:rPr>
      </w:r>
    </w:p>
    <w:p w:rsidR="00000000" w:rsidDel="00000000" w:rsidP="00000000" w:rsidRDefault="00000000" w:rsidRPr="00000000" w14:paraId="000000FD">
      <w:pPr>
        <w:spacing w:after="120" w:before="240" w:lineRule="auto"/>
        <w:rPr>
          <w:color w:val="24292e"/>
          <w:highlight w:val="white"/>
        </w:rPr>
      </w:pPr>
      <w:r w:rsidDel="00000000" w:rsidR="00000000" w:rsidRPr="00000000">
        <w:rPr>
          <w:rtl w:val="0"/>
        </w:rPr>
        <w:t xml:space="preserve">The PAV study displays two lines:</w:t>
      </w:r>
      <w:r w:rsidDel="00000000" w:rsidR="00000000" w:rsidRPr="00000000">
        <w:rPr>
          <w:color w:val="24292e"/>
          <w:highlight w:val="white"/>
          <w:rtl w:val="0"/>
        </w:rPr>
        <w:t xml:space="preserve">  </w:t>
      </w:r>
    </w:p>
    <w:p w:rsidR="00000000" w:rsidDel="00000000" w:rsidP="00000000" w:rsidRDefault="00000000" w:rsidRPr="00000000" w14:paraId="000000FE">
      <w:pPr>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Aggregate Volume — Vertical bars showing the summation of today’s volume up to the current time.</w:t>
      </w:r>
      <w:r w:rsidDel="00000000" w:rsidR="00000000" w:rsidRPr="00000000">
        <w:rPr>
          <w:rtl w:val="0"/>
        </w:rPr>
      </w:r>
    </w:p>
    <w:p w:rsidR="00000000" w:rsidDel="00000000" w:rsidP="00000000" w:rsidRDefault="00000000" w:rsidRPr="00000000" w14:paraId="000000FF">
      <w:pPr>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Projected Aggregate Volume — An overlay line showing the average aggregate volume based on trading in the past N days. That is, for a 30-minute chart with lookback = 10, the study retrieves and aggregates the volume for 9:30-10:00, 10:00-10:30, 10:30-11:00, etc. for the past 10 days. The projection shows how much volume trades on average for the time remaining.</w:t>
      </w:r>
      <w:r w:rsidDel="00000000" w:rsidR="00000000" w:rsidRPr="00000000">
        <w:rPr>
          <w:rtl w:val="0"/>
        </w:rPr>
      </w:r>
    </w:p>
    <w:p w:rsidR="00000000" w:rsidDel="00000000" w:rsidP="00000000" w:rsidRDefault="00000000" w:rsidRPr="00000000" w14:paraId="00000100">
      <w:pPr>
        <w:spacing w:after="120" w:before="240" w:lineRule="auto"/>
        <w:rPr>
          <w:highlight w:val="white"/>
        </w:rPr>
      </w:pPr>
      <w:r w:rsidDel="00000000" w:rsidR="00000000" w:rsidRPr="00000000">
        <w:rPr>
          <w:highlight w:val="white"/>
          <w:rtl w:val="0"/>
        </w:rPr>
        <w:t xml:space="preserve">Parameters</w:t>
      </w:r>
    </w:p>
    <w:p w:rsidR="00000000" w:rsidDel="00000000" w:rsidP="00000000" w:rsidRDefault="00000000" w:rsidRPr="00000000" w14:paraId="00000101">
      <w:pPr>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Lookback Days — The number of days used to calculate the Projected Aggregate Volume line.</w:t>
      </w:r>
      <w:r w:rsidDel="00000000" w:rsidR="00000000" w:rsidRPr="00000000">
        <w:rPr>
          <w:rtl w:val="0"/>
        </w:rPr>
      </w:r>
    </w:p>
    <w:p w:rsidR="00000000" w:rsidDel="00000000" w:rsidP="00000000" w:rsidRDefault="00000000" w:rsidRPr="00000000" w14:paraId="00000102">
      <w:pPr>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Anchor Time — The user may enter a time (when the order arrives) to display values from that time to the end of the trading day. That is, the anchor time serves to reset the volume calculation at zero and sum the values moving forward until the close of trading.</w:t>
      </w: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120" w:lineRule="auto"/>
        <w:ind w:left="360" w:firstLine="0"/>
        <w:rPr>
          <w:color w:val="000000"/>
          <w:highlight w:val="white"/>
        </w:rPr>
      </w:pPr>
      <w:r w:rsidDel="00000000" w:rsidR="00000000" w:rsidRPr="00000000">
        <w:rPr>
          <w:b w:val="1"/>
          <w:i w:val="1"/>
          <w:color w:val="000000"/>
          <w:highlight w:val="white"/>
          <w:rtl w:val="0"/>
        </w:rPr>
        <w:t xml:space="preserve">NEW v8.1</w:t>
      </w:r>
      <w:r w:rsidDel="00000000" w:rsidR="00000000" w:rsidRPr="00000000">
        <w:rPr>
          <w:color w:val="000000"/>
          <w:highlight w:val="white"/>
          <w:rtl w:val="0"/>
        </w:rPr>
        <w:t xml:space="preserve"> The anchor time is now the market open time. The anchor time changes automatically for on-screen studies when the chart symbol changes from market to market; for example, from a stock symbol to a Forex symbol.</w:t>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after="120" w:lineRule="auto"/>
        <w:ind w:left="360" w:firstLine="0"/>
        <w:rPr>
          <w:color w:val="000000"/>
        </w:rPr>
      </w:pPr>
      <w:r w:rsidDel="00000000" w:rsidR="00000000" w:rsidRPr="00000000">
        <w:rPr>
          <w:b w:val="1"/>
          <w:i w:val="1"/>
          <w:color w:val="000000"/>
          <w:highlight w:val="white"/>
          <w:rtl w:val="0"/>
        </w:rPr>
        <w:t xml:space="preserve">NEW v8.1</w:t>
      </w:r>
      <w:r w:rsidDel="00000000" w:rsidR="00000000" w:rsidRPr="00000000">
        <w:rPr>
          <w:color w:val="000000"/>
          <w:highlight w:val="white"/>
          <w:rtl w:val="0"/>
        </w:rPr>
        <w:t xml:space="preserve"> Users can now set the anchor time using an interactive control. The control is a vertical line with a drag “handle” that enables users to select and drag left and right to set the anchor time. A checkbox in the study settings panel turns the anchor selector control on or off.</w:t>
      </w: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Pr>
        <w:drawing>
          <wp:inline distB="0" distT="0" distL="0" distR="0">
            <wp:extent cx="6033548" cy="4301259"/>
            <wp:effectExtent b="0" l="0" r="0" t="0"/>
            <wp:docPr descr="A close up of a map&#10;&#10;Description automatically generated" id="328" name="image4.png"/>
            <a:graphic>
              <a:graphicData uri="http://schemas.openxmlformats.org/drawingml/2006/picture">
                <pic:pic>
                  <pic:nvPicPr>
                    <pic:cNvPr descr="A close up of a map&#10;&#10;Description automatically generated" id="0" name="image4.png"/>
                    <pic:cNvPicPr preferRelativeResize="0"/>
                  </pic:nvPicPr>
                  <pic:blipFill>
                    <a:blip r:embed="rId40"/>
                    <a:srcRect b="0" l="0" r="0" t="0"/>
                    <a:stretch>
                      <a:fillRect/>
                    </a:stretch>
                  </pic:blipFill>
                  <pic:spPr>
                    <a:xfrm>
                      <a:off x="0" y="0"/>
                      <a:ext cx="6033548" cy="4301259"/>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before="80" w:lineRule="auto"/>
        <w:rPr>
          <w:i w:val="1"/>
          <w:color w:val="000000"/>
          <w:sz w:val="18"/>
          <w:szCs w:val="18"/>
        </w:rPr>
      </w:pPr>
      <w:r w:rsidDel="00000000" w:rsidR="00000000" w:rsidRPr="00000000">
        <w:rPr>
          <w:b w:val="1"/>
          <w:i w:val="1"/>
          <w:color w:val="000000"/>
          <w:sz w:val="18"/>
          <w:szCs w:val="18"/>
          <w:highlight w:val="white"/>
          <w:rtl w:val="0"/>
        </w:rPr>
        <w:t xml:space="preserve">Figure.</w:t>
      </w:r>
      <w:r w:rsidDel="00000000" w:rsidR="00000000" w:rsidRPr="00000000">
        <w:rPr>
          <w:i w:val="1"/>
          <w:color w:val="000000"/>
          <w:sz w:val="18"/>
          <w:szCs w:val="18"/>
          <w:highlight w:val="white"/>
          <w:rtl w:val="0"/>
        </w:rPr>
        <w:t xml:space="preserve"> PAV study showing aggregated trading volume bar graph and moving average line.</w:t>
      </w:r>
      <w:r w:rsidDel="00000000" w:rsidR="00000000" w:rsidRPr="00000000">
        <w:rPr>
          <w:rtl w:val="0"/>
        </w:rPr>
      </w:r>
    </w:p>
    <w:p w:rsidR="00000000" w:rsidDel="00000000" w:rsidP="00000000" w:rsidRDefault="00000000" w:rsidRPr="00000000" w14:paraId="00000107">
      <w:pPr>
        <w:spacing w:after="0" w:lineRule="auto"/>
        <w:rPr>
          <w:color w:val="3b7262"/>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08">
      <w:pPr>
        <w:pStyle w:val="Heading3"/>
        <w:rPr/>
      </w:pPr>
      <w:bookmarkStart w:colFirst="0" w:colLast="0" w:name="_heading=h.haapch" w:id="48"/>
      <w:bookmarkEnd w:id="48"/>
      <w:r w:rsidDel="00000000" w:rsidR="00000000" w:rsidRPr="00000000">
        <w:rPr>
          <w:rtl w:val="0"/>
        </w:rPr>
        <w:t xml:space="preserve">Projected Volume at Time</w:t>
      </w:r>
    </w:p>
    <w:p w:rsidR="00000000" w:rsidDel="00000000" w:rsidP="00000000" w:rsidRDefault="00000000" w:rsidRPr="00000000" w14:paraId="00000109">
      <w:pPr>
        <w:keepNext w:val="1"/>
        <w:keepLines w:val="1"/>
        <w:spacing w:after="120" w:lineRule="auto"/>
        <w:rPr>
          <w:color w:val="24292e"/>
          <w:highlight w:val="white"/>
        </w:rPr>
      </w:pPr>
      <w:r w:rsidDel="00000000" w:rsidR="00000000" w:rsidRPr="00000000">
        <w:rPr>
          <w:b w:val="1"/>
          <w:i w:val="1"/>
          <w:rtl w:val="0"/>
        </w:rPr>
        <w:t xml:space="preserve">NEW v8.0</w:t>
      </w:r>
      <w:r w:rsidDel="00000000" w:rsidR="00000000" w:rsidRPr="00000000">
        <w:rPr>
          <w:rtl w:val="0"/>
        </w:rPr>
        <w:t xml:space="preserve"> </w:t>
      </w:r>
      <w:r w:rsidDel="00000000" w:rsidR="00000000" w:rsidRPr="00000000">
        <w:rPr>
          <w:color w:val="24292e"/>
          <w:highlight w:val="white"/>
          <w:rtl w:val="0"/>
        </w:rPr>
        <w:t xml:space="preserve">Projected Volume at Time (PVAT) is </w:t>
      </w:r>
      <w:r w:rsidDel="00000000" w:rsidR="00000000" w:rsidRPr="00000000">
        <w:rPr>
          <w:color w:val="24292e"/>
          <w:rtl w:val="0"/>
        </w:rPr>
        <w:t xml:space="preserve">an </w:t>
      </w:r>
      <w:r w:rsidDel="00000000" w:rsidR="00000000" w:rsidRPr="00000000">
        <w:rPr>
          <w:color w:val="24292e"/>
          <w:highlight w:val="white"/>
          <w:rtl w:val="0"/>
        </w:rPr>
        <w:t xml:space="preserve">average of intraday trading volume for each given time segment. </w:t>
      </w:r>
      <w:r w:rsidDel="00000000" w:rsidR="00000000" w:rsidRPr="00000000">
        <w:rPr>
          <w:b w:val="1"/>
          <w:color w:val="24292e"/>
          <w:highlight w:val="white"/>
          <w:rtl w:val="0"/>
        </w:rPr>
        <w:t xml:space="preserve">Note:</w:t>
      </w:r>
      <w:r w:rsidDel="00000000" w:rsidR="00000000" w:rsidRPr="00000000">
        <w:rPr>
          <w:color w:val="24292e"/>
          <w:highlight w:val="white"/>
          <w:rtl w:val="0"/>
        </w:rPr>
        <w:t xml:space="preserve"> This study is displayed ONLY for intraday periodicities.</w:t>
      </w:r>
    </w:p>
    <w:p w:rsidR="00000000" w:rsidDel="00000000" w:rsidP="00000000" w:rsidRDefault="00000000" w:rsidRPr="00000000" w14:paraId="0000010A">
      <w:pPr>
        <w:keepNext w:val="1"/>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Indicator Type — Intraday activity indicator.</w:t>
      </w:r>
      <w:r w:rsidDel="00000000" w:rsidR="00000000" w:rsidRPr="00000000">
        <w:rPr>
          <w:rtl w:val="0"/>
        </w:rPr>
      </w:r>
    </w:p>
    <w:p w:rsidR="00000000" w:rsidDel="00000000" w:rsidP="00000000" w:rsidRDefault="00000000" w:rsidRPr="00000000" w14:paraId="0000010B">
      <w:pPr>
        <w:keepNext w:val="1"/>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Markets — All exchange-traded instruments with liquidity throughout the trading day.</w:t>
      </w:r>
      <w:r w:rsidDel="00000000" w:rsidR="00000000" w:rsidRPr="00000000">
        <w:rPr>
          <w:rtl w:val="0"/>
        </w:rPr>
      </w:r>
    </w:p>
    <w:p w:rsidR="00000000" w:rsidDel="00000000" w:rsidP="00000000" w:rsidRDefault="00000000" w:rsidRPr="00000000" w14:paraId="0000010C">
      <w:pPr>
        <w:keepNext w:val="1"/>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Works Best — Intraday analysis of equities and futures.</w:t>
      </w:r>
      <w:r w:rsidDel="00000000" w:rsidR="00000000" w:rsidRPr="00000000">
        <w:rPr>
          <w:rtl w:val="0"/>
        </w:rPr>
      </w:r>
    </w:p>
    <w:p w:rsidR="00000000" w:rsidDel="00000000" w:rsidP="00000000" w:rsidRDefault="00000000" w:rsidRPr="00000000" w14:paraId="0000010D">
      <w:pPr>
        <w:keepNext w:val="1"/>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Theory — </w:t>
      </w:r>
      <w:r w:rsidDel="00000000" w:rsidR="00000000" w:rsidRPr="00000000">
        <w:rPr>
          <w:color w:val="24292e"/>
          <w:highlight w:val="white"/>
          <w:rtl w:val="0"/>
        </w:rPr>
        <w:t xml:space="preserve">The study enables traders to identify unusual volume activity in real time.  Traders can see whether the current volume activity is above or below average for that time and see projected volume for each time segment of the day.</w:t>
      </w:r>
      <w:r w:rsidDel="00000000" w:rsidR="00000000" w:rsidRPr="00000000">
        <w:rPr>
          <w:rtl w:val="0"/>
        </w:rPr>
      </w:r>
    </w:p>
    <w:p w:rsidR="00000000" w:rsidDel="00000000" w:rsidP="00000000" w:rsidRDefault="00000000" w:rsidRPr="00000000" w14:paraId="0000010E">
      <w:pPr>
        <w:spacing w:after="120" w:before="240" w:lineRule="auto"/>
        <w:rPr>
          <w:color w:val="24292e"/>
          <w:highlight w:val="white"/>
        </w:rPr>
      </w:pPr>
      <w:r w:rsidDel="00000000" w:rsidR="00000000" w:rsidRPr="00000000">
        <w:rPr>
          <w:rtl w:val="0"/>
        </w:rPr>
        <w:t xml:space="preserve">The PVAT study displays two lines:</w:t>
      </w:r>
      <w:r w:rsidDel="00000000" w:rsidR="00000000" w:rsidRPr="00000000">
        <w:rPr>
          <w:color w:val="24292e"/>
          <w:highlight w:val="white"/>
          <w:rtl w:val="0"/>
        </w:rPr>
        <w:t xml:space="preserve">  </w:t>
      </w:r>
    </w:p>
    <w:p w:rsidR="00000000" w:rsidDel="00000000" w:rsidP="00000000" w:rsidRDefault="00000000" w:rsidRPr="00000000" w14:paraId="0000010F">
      <w:pPr>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Volume — Vertical bars showing today’s volume for each intraday time segment (standard volume panel).</w:t>
      </w:r>
      <w:r w:rsidDel="00000000" w:rsidR="00000000" w:rsidRPr="00000000">
        <w:rPr>
          <w:rtl w:val="0"/>
        </w:rPr>
      </w:r>
    </w:p>
    <w:p w:rsidR="00000000" w:rsidDel="00000000" w:rsidP="00000000" w:rsidRDefault="00000000" w:rsidRPr="00000000" w14:paraId="00000110">
      <w:pPr>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Average Volume at Time — An overlay of average volume for each time segment based on trading in the past N days. That is, for a 30-minute chart with lookback = 10, the study retrieves and averages the volume for 9:30-10:00, 10:00-10:30, 10:30-11:00, etc. for the past 10 days.</w:t>
      </w:r>
      <w:r w:rsidDel="00000000" w:rsidR="00000000" w:rsidRPr="00000000">
        <w:rPr>
          <w:rtl w:val="0"/>
        </w:rPr>
      </w:r>
    </w:p>
    <w:p w:rsidR="00000000" w:rsidDel="00000000" w:rsidP="00000000" w:rsidRDefault="00000000" w:rsidRPr="00000000" w14:paraId="00000111">
      <w:pPr>
        <w:keepNext w:val="1"/>
        <w:spacing w:after="120" w:before="240" w:lineRule="auto"/>
        <w:rPr>
          <w:highlight w:val="white"/>
        </w:rPr>
      </w:pPr>
      <w:r w:rsidDel="00000000" w:rsidR="00000000" w:rsidRPr="00000000">
        <w:rPr>
          <w:highlight w:val="white"/>
          <w:rtl w:val="0"/>
        </w:rPr>
        <w:t xml:space="preserve">Parameters</w:t>
      </w:r>
    </w:p>
    <w:p w:rsidR="00000000" w:rsidDel="00000000" w:rsidP="00000000" w:rsidRDefault="00000000" w:rsidRPr="00000000" w14:paraId="00000112">
      <w:pPr>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Lookback Days — The number of days used to calculate the Average Volume at Time line.</w:t>
      </w:r>
      <w:r w:rsidDel="00000000" w:rsidR="00000000" w:rsidRPr="00000000">
        <w:rPr>
          <w:rtl w:val="0"/>
        </w:rPr>
      </w:r>
    </w:p>
    <w:p w:rsidR="00000000" w:rsidDel="00000000" w:rsidP="00000000" w:rsidRDefault="00000000" w:rsidRPr="00000000" w14:paraId="00000113">
      <w:pPr>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highlight w:val="white"/>
          <w:rtl w:val="0"/>
        </w:rPr>
        <w:t xml:space="preserve">Alert Threshold — The volume bars are highlighted when the volume exceeds the average volume by a user-defined percentage.</w:t>
      </w:r>
      <w:r w:rsidDel="00000000" w:rsidR="00000000" w:rsidRPr="00000000">
        <w:rPr>
          <w:rtl w:val="0"/>
        </w:rPr>
      </w:r>
    </w:p>
    <w:p w:rsidR="00000000" w:rsidDel="00000000" w:rsidP="00000000" w:rsidRDefault="00000000" w:rsidRPr="00000000" w14:paraId="00000114">
      <w:pPr>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highlight w:val="white"/>
          <w:rtl w:val="0"/>
        </w:rPr>
        <w:t xml:space="preserve">Anchor Time — The user may enter a time (when the order arrives) to display values </w:t>
      </w:r>
      <w:r w:rsidDel="00000000" w:rsidR="00000000" w:rsidRPr="00000000">
        <w:rPr>
          <w:color w:val="000000"/>
          <w:rtl w:val="0"/>
        </w:rPr>
        <w:t xml:space="preserve">from</w:t>
      </w:r>
      <w:r w:rsidDel="00000000" w:rsidR="00000000" w:rsidRPr="00000000">
        <w:rPr>
          <w:color w:val="000000"/>
          <w:highlight w:val="white"/>
          <w:rtl w:val="0"/>
        </w:rPr>
        <w:t xml:space="preserve"> that time to the end of the trading day.</w:t>
      </w: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after="120" w:lineRule="auto"/>
        <w:ind w:left="360" w:firstLine="0"/>
        <w:rPr>
          <w:color w:val="000000"/>
          <w:highlight w:val="white"/>
        </w:rPr>
      </w:pPr>
      <w:r w:rsidDel="00000000" w:rsidR="00000000" w:rsidRPr="00000000">
        <w:rPr>
          <w:b w:val="1"/>
          <w:i w:val="1"/>
          <w:color w:val="000000"/>
          <w:highlight w:val="white"/>
          <w:rtl w:val="0"/>
        </w:rPr>
        <w:t xml:space="preserve">NEW v8.1</w:t>
      </w:r>
      <w:r w:rsidDel="00000000" w:rsidR="00000000" w:rsidRPr="00000000">
        <w:rPr>
          <w:color w:val="000000"/>
          <w:highlight w:val="white"/>
          <w:rtl w:val="0"/>
        </w:rPr>
        <w:t xml:space="preserve"> The anchor time is now the market open time. The anchor time changes automatically for on-screen studies when the chart symbol changes from market to market; for example, from a stock symbol to a Forex symbol.</w:t>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after="360" w:lineRule="auto"/>
        <w:ind w:left="360" w:firstLine="0"/>
        <w:rPr>
          <w:color w:val="000000"/>
        </w:rPr>
      </w:pPr>
      <w:r w:rsidDel="00000000" w:rsidR="00000000" w:rsidRPr="00000000">
        <w:rPr>
          <w:b w:val="1"/>
          <w:i w:val="1"/>
          <w:color w:val="000000"/>
          <w:highlight w:val="white"/>
          <w:rtl w:val="0"/>
        </w:rPr>
        <w:t xml:space="preserve">NEW v8.1</w:t>
      </w:r>
      <w:r w:rsidDel="00000000" w:rsidR="00000000" w:rsidRPr="00000000">
        <w:rPr>
          <w:color w:val="000000"/>
          <w:highlight w:val="white"/>
          <w:rtl w:val="0"/>
        </w:rPr>
        <w:t xml:space="preserve"> Users can now set the anchor time using an interactive control. The control is a vertical line with a drag “handle” that enables users to select and drag left and right to set the anchor time. A checkbox in the study settings panel turns the anchor selector control on or off.</w:t>
      </w: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Pr>
        <w:drawing>
          <wp:inline distB="0" distT="0" distL="0" distR="0">
            <wp:extent cx="5943600" cy="4210685"/>
            <wp:effectExtent b="0" l="0" r="0" t="0"/>
            <wp:docPr descr="A close up of a map&#10;&#10;Description automatically generated" id="329" name="image13.png"/>
            <a:graphic>
              <a:graphicData uri="http://schemas.openxmlformats.org/drawingml/2006/picture">
                <pic:pic>
                  <pic:nvPicPr>
                    <pic:cNvPr descr="A close up of a map&#10;&#10;Description automatically generated" id="0" name="image13.png"/>
                    <pic:cNvPicPr preferRelativeResize="0"/>
                  </pic:nvPicPr>
                  <pic:blipFill>
                    <a:blip r:embed="rId41"/>
                    <a:srcRect b="0" l="0" r="0" t="0"/>
                    <a:stretch>
                      <a:fillRect/>
                    </a:stretch>
                  </pic:blipFill>
                  <pic:spPr>
                    <a:xfrm>
                      <a:off x="0" y="0"/>
                      <a:ext cx="5943600" cy="4210685"/>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before="80" w:lineRule="auto"/>
        <w:rPr>
          <w:i w:val="1"/>
          <w:color w:val="000000"/>
          <w:sz w:val="18"/>
          <w:szCs w:val="18"/>
          <w:highlight w:val="white"/>
        </w:rPr>
      </w:pPr>
      <w:r w:rsidDel="00000000" w:rsidR="00000000" w:rsidRPr="00000000">
        <w:rPr>
          <w:b w:val="1"/>
          <w:i w:val="1"/>
          <w:color w:val="000000"/>
          <w:sz w:val="18"/>
          <w:szCs w:val="18"/>
          <w:highlight w:val="white"/>
          <w:rtl w:val="0"/>
        </w:rPr>
        <w:t xml:space="preserve">Figure.</w:t>
      </w:r>
      <w:r w:rsidDel="00000000" w:rsidR="00000000" w:rsidRPr="00000000">
        <w:rPr>
          <w:i w:val="1"/>
          <w:color w:val="000000"/>
          <w:sz w:val="18"/>
          <w:szCs w:val="18"/>
          <w:highlight w:val="white"/>
          <w:rtl w:val="0"/>
        </w:rPr>
        <w:t xml:space="preserve"> PVAT study showing trading volume bar graph and moving average line.</w:t>
      </w:r>
    </w:p>
    <w:p w:rsidR="00000000" w:rsidDel="00000000" w:rsidP="00000000" w:rsidRDefault="00000000" w:rsidRPr="00000000" w14:paraId="00000119">
      <w:pPr>
        <w:rPr>
          <w:color w:val="3b7262"/>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1A">
      <w:pPr>
        <w:pStyle w:val="Heading3"/>
        <w:rPr/>
      </w:pPr>
      <w:bookmarkStart w:colFirst="0" w:colLast="0" w:name="_heading=h.319y80a" w:id="49"/>
      <w:bookmarkEnd w:id="49"/>
      <w:r w:rsidDel="00000000" w:rsidR="00000000" w:rsidRPr="00000000">
        <w:rPr>
          <w:rtl w:val="0"/>
        </w:rPr>
        <w:t xml:space="preserve">Relative Strength Index (RSI) </w:t>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120" w:lineRule="auto"/>
        <w:rPr>
          <w:color w:val="000000"/>
          <w:shd w:fill="fefefe" w:val="clear"/>
        </w:rPr>
      </w:pPr>
      <w:r w:rsidDel="00000000" w:rsidR="00000000" w:rsidRPr="00000000">
        <w:rPr>
          <w:color w:val="000000"/>
          <w:shd w:fill="fefefe" w:val="clear"/>
          <w:rtl w:val="0"/>
        </w:rPr>
        <w:t xml:space="preserve">RSI is used to measure underlying strength of a market move.</w:t>
      </w:r>
    </w:p>
    <w:p w:rsidR="00000000" w:rsidDel="00000000" w:rsidP="00000000" w:rsidRDefault="00000000" w:rsidRPr="00000000" w14:paraId="0000011C">
      <w:pPr>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Indicator Type — Momentum oscillator</w:t>
      </w:r>
      <w:r w:rsidDel="00000000" w:rsidR="00000000" w:rsidRPr="00000000">
        <w:rPr>
          <w:rtl w:val="0"/>
        </w:rPr>
      </w:r>
    </w:p>
    <w:p w:rsidR="00000000" w:rsidDel="00000000" w:rsidP="00000000" w:rsidRDefault="00000000" w:rsidRPr="00000000" w14:paraId="0000011D">
      <w:pPr>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Markets — All cash and futures, not options</w:t>
      </w:r>
      <w:r w:rsidDel="00000000" w:rsidR="00000000" w:rsidRPr="00000000">
        <w:rPr>
          <w:rtl w:val="0"/>
        </w:rPr>
      </w:r>
    </w:p>
    <w:p w:rsidR="00000000" w:rsidDel="00000000" w:rsidP="00000000" w:rsidRDefault="00000000" w:rsidRPr="00000000" w14:paraId="0000011E">
      <w:pPr>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Works Best — Trending markets, all time frames</w:t>
      </w:r>
      <w:r w:rsidDel="00000000" w:rsidR="00000000" w:rsidRPr="00000000">
        <w:rPr>
          <w:rtl w:val="0"/>
        </w:rPr>
      </w:r>
    </w:p>
    <w:p w:rsidR="00000000" w:rsidDel="00000000" w:rsidP="00000000" w:rsidRDefault="00000000" w:rsidRPr="00000000" w14:paraId="0000011F">
      <w:pPr>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Formula — The RSI looks at a ratio of average size of the up-closes over the past </w:t>
      </w:r>
      <w:r w:rsidDel="00000000" w:rsidR="00000000" w:rsidRPr="00000000">
        <w:rPr>
          <w:i w:val="1"/>
          <w:color w:val="000000"/>
          <w:rtl w:val="0"/>
        </w:rPr>
        <w:t xml:space="preserve">n</w:t>
      </w:r>
      <w:r w:rsidDel="00000000" w:rsidR="00000000" w:rsidRPr="00000000">
        <w:rPr>
          <w:color w:val="000000"/>
          <w:rtl w:val="0"/>
        </w:rPr>
        <w:t xml:space="preserve"> periods and compares to the average size of the down-closes. The result is indexed between 0 and 100. RSI values are smoothed exponentially using the same </w:t>
      </w:r>
      <w:r w:rsidDel="00000000" w:rsidR="00000000" w:rsidRPr="00000000">
        <w:rPr>
          <w:i w:val="1"/>
          <w:color w:val="000000"/>
          <w:rtl w:val="0"/>
        </w:rPr>
        <w:t xml:space="preserve">n</w:t>
      </w:r>
      <w:r w:rsidDel="00000000" w:rsidR="00000000" w:rsidRPr="00000000">
        <w:rPr>
          <w:color w:val="000000"/>
          <w:rtl w:val="0"/>
        </w:rPr>
        <w:t xml:space="preserve"> period parameter.</w:t>
      </w:r>
      <w:r w:rsidDel="00000000" w:rsidR="00000000" w:rsidRPr="00000000">
        <w:rPr>
          <w:rtl w:val="0"/>
        </w:rPr>
      </w:r>
    </w:p>
    <w:p w:rsidR="00000000" w:rsidDel="00000000" w:rsidP="00000000" w:rsidRDefault="00000000" w:rsidRPr="00000000" w14:paraId="00000120">
      <w:pPr>
        <w:numPr>
          <w:ilvl w:val="0"/>
          <w:numId w:val="3"/>
        </w:numPr>
        <w:pBdr>
          <w:top w:space="0" w:sz="0" w:val="nil"/>
          <w:left w:space="0" w:sz="0" w:val="nil"/>
          <w:bottom w:space="0" w:sz="0" w:val="nil"/>
          <w:right w:space="0" w:sz="0" w:val="nil"/>
          <w:between w:space="0" w:sz="0" w:val="nil"/>
        </w:pBdr>
        <w:ind w:left="360" w:hanging="360"/>
        <w:rPr/>
      </w:pPr>
      <w:r w:rsidDel="00000000" w:rsidR="00000000" w:rsidRPr="00000000">
        <w:rPr>
          <w:color w:val="000000"/>
          <w:rtl w:val="0"/>
        </w:rPr>
        <w:t xml:space="preserve">Theory — Prices are generally considered to be elastic in that they can move only so far from a mean price before reacting or retracing. The slope and values of the RSI are directly proportional to the velocity and magnitude of the price move and are extremely helpful in identifying overbought and oversold situations. The number of periods (days, hours, five minutes) was originally based on half of a normal cycle. For example, Welles Wilder originally presumed Gold to have a 28-day cycle, so a 14-day RSI was used. This has been replaced by the speed of the market. Faster markets use smaller (more sensitive) parameters.</w:t>
      </w:r>
      <w:r w:rsidDel="00000000" w:rsidR="00000000" w:rsidRPr="00000000">
        <w:rPr>
          <w:rtl w:val="0"/>
        </w:rPr>
      </w:r>
    </w:p>
    <w:p w:rsidR="00000000" w:rsidDel="00000000" w:rsidP="00000000" w:rsidRDefault="00000000" w:rsidRPr="00000000" w14:paraId="00000121">
      <w:pPr>
        <w:pStyle w:val="Heading3"/>
        <w:rPr/>
      </w:pPr>
      <w:bookmarkStart w:colFirst="0" w:colLast="0" w:name="_heading=h.1gf8i83" w:id="50"/>
      <w:bookmarkEnd w:id="50"/>
      <w:r w:rsidDel="00000000" w:rsidR="00000000" w:rsidRPr="00000000">
        <w:rPr>
          <w:rtl w:val="0"/>
        </w:rPr>
        <w:t xml:space="preserve">Stochastics </w:t>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after="120" w:lineRule="auto"/>
        <w:rPr>
          <w:color w:val="000000"/>
          <w:shd w:fill="fefefe" w:val="clear"/>
        </w:rPr>
      </w:pPr>
      <w:r w:rsidDel="00000000" w:rsidR="00000000" w:rsidRPr="00000000">
        <w:rPr>
          <w:color w:val="000000"/>
          <w:shd w:fill="fefefe" w:val="clear"/>
          <w:rtl w:val="0"/>
        </w:rPr>
        <w:t xml:space="preserve">Stochastics is used to identify market strength, overbought/oversold.</w:t>
      </w:r>
    </w:p>
    <w:p w:rsidR="00000000" w:rsidDel="00000000" w:rsidP="00000000" w:rsidRDefault="00000000" w:rsidRPr="00000000" w14:paraId="00000123">
      <w:pPr>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Indicator Type — Momentum oscillator</w:t>
      </w:r>
      <w:r w:rsidDel="00000000" w:rsidR="00000000" w:rsidRPr="00000000">
        <w:rPr>
          <w:rtl w:val="0"/>
        </w:rPr>
      </w:r>
    </w:p>
    <w:p w:rsidR="00000000" w:rsidDel="00000000" w:rsidP="00000000" w:rsidRDefault="00000000" w:rsidRPr="00000000" w14:paraId="00000124">
      <w:pPr>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Markets — All cash and futures, not options</w:t>
      </w:r>
      <w:r w:rsidDel="00000000" w:rsidR="00000000" w:rsidRPr="00000000">
        <w:rPr>
          <w:rtl w:val="0"/>
        </w:rPr>
      </w:r>
    </w:p>
    <w:p w:rsidR="00000000" w:rsidDel="00000000" w:rsidP="00000000" w:rsidRDefault="00000000" w:rsidRPr="00000000" w14:paraId="00000125">
      <w:pPr>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Works Best — Flat markets or trading ranges</w:t>
      </w:r>
      <w:r w:rsidDel="00000000" w:rsidR="00000000" w:rsidRPr="00000000">
        <w:rPr>
          <w:rtl w:val="0"/>
        </w:rPr>
      </w:r>
    </w:p>
    <w:p w:rsidR="00000000" w:rsidDel="00000000" w:rsidP="00000000" w:rsidRDefault="00000000" w:rsidRPr="00000000" w14:paraId="00000126">
      <w:pPr>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Formula — The calculation (fast) tells us where price is in its recent range. It is then smoothed with a three-period moving average (slow) leaving both lines on the chart. Most traders smooth the smoothed line again to create a slower version of the indicators.</w:t>
      </w:r>
      <w:r w:rsidDel="00000000" w:rsidR="00000000" w:rsidRPr="00000000">
        <w:rPr>
          <w:rtl w:val="0"/>
        </w:rPr>
      </w:r>
    </w:p>
    <w:p w:rsidR="00000000" w:rsidDel="00000000" w:rsidP="00000000" w:rsidRDefault="00000000" w:rsidRPr="00000000" w14:paraId="00000127">
      <w:pPr>
        <w:numPr>
          <w:ilvl w:val="0"/>
          <w:numId w:val="3"/>
        </w:numPr>
        <w:pBdr>
          <w:top w:space="0" w:sz="0" w:val="nil"/>
          <w:left w:space="0" w:sz="0" w:val="nil"/>
          <w:bottom w:space="0" w:sz="0" w:val="nil"/>
          <w:right w:space="0" w:sz="0" w:val="nil"/>
          <w:between w:space="0" w:sz="0" w:val="nil"/>
        </w:pBdr>
        <w:ind w:left="360" w:hanging="360"/>
        <w:rPr/>
      </w:pPr>
      <w:r w:rsidDel="00000000" w:rsidR="00000000" w:rsidRPr="00000000">
        <w:rPr>
          <w:color w:val="000000"/>
          <w:rtl w:val="0"/>
        </w:rPr>
        <w:t xml:space="preserve">Theory — A stochastic is the measurement of the placement of a current price within a recent trading range. The theory is that, as prices rise, daily (or hourly, minute, etc.) closes tend to occur closer to the high end of their recent range. When prices trend higher or flat and daily closes begin to sag within the range, it signals internal market weakness.</w:t>
      </w:r>
      <w:r w:rsidDel="00000000" w:rsidR="00000000" w:rsidRPr="00000000">
        <w:rPr>
          <w:rtl w:val="0"/>
        </w:rPr>
      </w:r>
    </w:p>
    <w:p w:rsidR="00000000" w:rsidDel="00000000" w:rsidP="00000000" w:rsidRDefault="00000000" w:rsidRPr="00000000" w14:paraId="00000128">
      <w:pPr>
        <w:pStyle w:val="Heading3"/>
        <w:rPr/>
      </w:pPr>
      <w:bookmarkStart w:colFirst="0" w:colLast="0" w:name="_heading=h.40ew0vw" w:id="51"/>
      <w:bookmarkEnd w:id="51"/>
      <w:r w:rsidDel="00000000" w:rsidR="00000000" w:rsidRPr="00000000">
        <w:rPr>
          <w:rtl w:val="0"/>
        </w:rPr>
        <w:t xml:space="preserve">Supertrend</w:t>
      </w:r>
    </w:p>
    <w:p w:rsidR="00000000" w:rsidDel="00000000" w:rsidP="00000000" w:rsidRDefault="00000000" w:rsidRPr="00000000" w14:paraId="00000129">
      <w:pPr>
        <w:keepNext w:val="1"/>
        <w:pBdr>
          <w:top w:space="0" w:sz="0" w:val="nil"/>
          <w:left w:space="0" w:sz="0" w:val="nil"/>
          <w:bottom w:space="0" w:sz="0" w:val="nil"/>
          <w:right w:space="0" w:sz="0" w:val="nil"/>
          <w:between w:space="0" w:sz="0" w:val="nil"/>
        </w:pBdr>
        <w:spacing w:after="120" w:lineRule="auto"/>
        <w:rPr>
          <w:color w:val="000000"/>
          <w:shd w:fill="fefefe" w:val="clear"/>
        </w:rPr>
      </w:pPr>
      <w:r w:rsidDel="00000000" w:rsidR="00000000" w:rsidRPr="00000000">
        <w:rPr>
          <w:color w:val="000000"/>
          <w:shd w:fill="fefefe" w:val="clear"/>
          <w:rtl w:val="0"/>
        </w:rPr>
        <w:t xml:space="preserve">Supertrend is used to time buys and sells based on changes in the trend.</w:t>
      </w:r>
    </w:p>
    <w:p w:rsidR="00000000" w:rsidDel="00000000" w:rsidP="00000000" w:rsidRDefault="00000000" w:rsidRPr="00000000" w14:paraId="0000012A">
      <w:pPr>
        <w:keepNext w:val="1"/>
        <w:numPr>
          <w:ilvl w:val="0"/>
          <w:numId w:val="4"/>
        </w:numPr>
        <w:pBdr>
          <w:top w:space="0" w:sz="0" w:val="nil"/>
          <w:left w:space="0" w:sz="0" w:val="nil"/>
          <w:bottom w:space="0" w:sz="0" w:val="nil"/>
          <w:right w:space="0" w:sz="0" w:val="nil"/>
          <w:between w:space="0" w:sz="0" w:val="nil"/>
        </w:pBdr>
        <w:spacing w:after="120" w:lineRule="auto"/>
        <w:ind w:left="360" w:hanging="360"/>
        <w:rPr>
          <w:b w:val="1"/>
          <w:color w:val="000000"/>
        </w:rPr>
      </w:pPr>
      <w:r w:rsidDel="00000000" w:rsidR="00000000" w:rsidRPr="00000000">
        <w:rPr>
          <w:color w:val="000000"/>
          <w:rtl w:val="0"/>
        </w:rPr>
        <w:t xml:space="preserve">Indicator Type — Trend following indicator</w:t>
      </w:r>
      <w:r w:rsidDel="00000000" w:rsidR="00000000" w:rsidRPr="00000000">
        <w:rPr>
          <w:rtl w:val="0"/>
        </w:rPr>
      </w:r>
    </w:p>
    <w:p w:rsidR="00000000" w:rsidDel="00000000" w:rsidP="00000000" w:rsidRDefault="00000000" w:rsidRPr="00000000" w14:paraId="0000012B">
      <w:pPr>
        <w:keepNext w:val="1"/>
        <w:numPr>
          <w:ilvl w:val="0"/>
          <w:numId w:val="4"/>
        </w:numPr>
        <w:pBdr>
          <w:top w:space="0" w:sz="0" w:val="nil"/>
          <w:left w:space="0" w:sz="0" w:val="nil"/>
          <w:bottom w:space="0" w:sz="0" w:val="nil"/>
          <w:right w:space="0" w:sz="0" w:val="nil"/>
          <w:between w:space="0" w:sz="0" w:val="nil"/>
        </w:pBdr>
        <w:spacing w:after="120" w:lineRule="auto"/>
        <w:ind w:left="360" w:hanging="360"/>
        <w:rPr>
          <w:b w:val="1"/>
          <w:color w:val="000000"/>
        </w:rPr>
      </w:pPr>
      <w:r w:rsidDel="00000000" w:rsidR="00000000" w:rsidRPr="00000000">
        <w:rPr>
          <w:color w:val="000000"/>
          <w:rtl w:val="0"/>
        </w:rPr>
        <w:t xml:space="preserve">Markets — All cash and futures, not options. Most popular in forex.</w:t>
      </w:r>
      <w:r w:rsidDel="00000000" w:rsidR="00000000" w:rsidRPr="00000000">
        <w:rPr>
          <w:rtl w:val="0"/>
        </w:rPr>
      </w:r>
    </w:p>
    <w:p w:rsidR="00000000" w:rsidDel="00000000" w:rsidP="00000000" w:rsidRDefault="00000000" w:rsidRPr="00000000" w14:paraId="0000012C">
      <w:pPr>
        <w:keepNext w:val="1"/>
        <w:numPr>
          <w:ilvl w:val="0"/>
          <w:numId w:val="4"/>
        </w:numPr>
        <w:pBdr>
          <w:top w:space="0" w:sz="0" w:val="nil"/>
          <w:left w:space="0" w:sz="0" w:val="nil"/>
          <w:bottom w:space="0" w:sz="0" w:val="nil"/>
          <w:right w:space="0" w:sz="0" w:val="nil"/>
          <w:between w:space="0" w:sz="0" w:val="nil"/>
        </w:pBdr>
        <w:spacing w:after="120" w:lineRule="auto"/>
        <w:ind w:left="360" w:hanging="360"/>
        <w:rPr>
          <w:b w:val="1"/>
          <w:color w:val="000000"/>
        </w:rPr>
      </w:pPr>
      <w:r w:rsidDel="00000000" w:rsidR="00000000" w:rsidRPr="00000000">
        <w:rPr>
          <w:color w:val="000000"/>
          <w:rtl w:val="0"/>
        </w:rPr>
        <w:t xml:space="preserve">Works Best — Trending markets</w:t>
      </w:r>
      <w:r w:rsidDel="00000000" w:rsidR="00000000" w:rsidRPr="00000000">
        <w:rPr>
          <w:rtl w:val="0"/>
        </w:rPr>
      </w:r>
    </w:p>
    <w:p w:rsidR="00000000" w:rsidDel="00000000" w:rsidP="00000000" w:rsidRDefault="00000000" w:rsidRPr="00000000" w14:paraId="0000012D">
      <w:pPr>
        <w:keepNext w:val="1"/>
        <w:keepLines w:val="1"/>
        <w:numPr>
          <w:ilvl w:val="0"/>
          <w:numId w:val="4"/>
        </w:numPr>
        <w:pBdr>
          <w:top w:space="0" w:sz="0" w:val="nil"/>
          <w:left w:space="0" w:sz="0" w:val="nil"/>
          <w:bottom w:space="0" w:sz="0" w:val="nil"/>
          <w:right w:space="0" w:sz="0" w:val="nil"/>
          <w:between w:space="0" w:sz="0" w:val="nil"/>
        </w:pBdr>
        <w:spacing w:after="120" w:lineRule="auto"/>
        <w:ind w:left="360" w:hanging="360"/>
        <w:rPr>
          <w:b w:val="1"/>
          <w:color w:val="000000"/>
        </w:rPr>
      </w:pPr>
      <w:r w:rsidDel="00000000" w:rsidR="00000000" w:rsidRPr="00000000">
        <w:rPr>
          <w:color w:val="000000"/>
          <w:rtl w:val="0"/>
        </w:rPr>
        <w:t xml:space="preserve">Formula — The upper band is the average price plus the volatility-based multiplier (usually </w:t>
      </w:r>
      <w:hyperlink r:id="rId42">
        <w:r w:rsidDel="00000000" w:rsidR="00000000" w:rsidRPr="00000000">
          <w:rPr>
            <w:color w:val="000000"/>
            <w:rtl w:val="0"/>
          </w:rPr>
          <w:t xml:space="preserve">average true range</w:t>
        </w:r>
      </w:hyperlink>
      <w:r w:rsidDel="00000000" w:rsidR="00000000" w:rsidRPr="00000000">
        <w:rPr>
          <w:color w:val="000000"/>
          <w:rtl w:val="0"/>
        </w:rPr>
        <w:t xml:space="preserve">, or ATR). The lower band is the average price minus the volatility-based multiplier. Only one band is drawn for any period and it switches when price crosses it, similar to the </w:t>
      </w:r>
      <w:hyperlink r:id="rId43">
        <w:r w:rsidDel="00000000" w:rsidR="00000000" w:rsidRPr="00000000">
          <w:rPr>
            <w:color w:val="000000"/>
            <w:rtl w:val="0"/>
          </w:rPr>
          <w:t xml:space="preserve">parabolic stop-and-reverse</w:t>
        </w:r>
      </w:hyperlink>
      <w:r w:rsidDel="00000000" w:rsidR="00000000" w:rsidRPr="00000000">
        <w:rPr>
          <w:color w:val="000000"/>
          <w:rtl w:val="0"/>
        </w:rPr>
        <w:t xml:space="preserve">. Like any trailing stop, the upper band can never move higher once established, and the lower band can never move lower once established. Each is continued at the same price level as the previous period. Arrows are drawn pointing to the close of the bar when direction changes.</w:t>
      </w:r>
      <w:r w:rsidDel="00000000" w:rsidR="00000000" w:rsidRPr="00000000">
        <w:rPr>
          <w:rtl w:val="0"/>
        </w:rPr>
      </w:r>
    </w:p>
    <w:p w:rsidR="00000000" w:rsidDel="00000000" w:rsidP="00000000" w:rsidRDefault="00000000" w:rsidRPr="00000000" w14:paraId="0000012E">
      <w:pPr>
        <w:keepLines w:val="1"/>
        <w:numPr>
          <w:ilvl w:val="0"/>
          <w:numId w:val="3"/>
        </w:numPr>
        <w:pBdr>
          <w:top w:space="0" w:sz="0" w:val="nil"/>
          <w:left w:space="0" w:sz="0" w:val="nil"/>
          <w:bottom w:space="0" w:sz="0" w:val="nil"/>
          <w:right w:space="0" w:sz="0" w:val="nil"/>
          <w:between w:space="0" w:sz="0" w:val="nil"/>
        </w:pBdr>
        <w:ind w:left="360" w:hanging="360"/>
        <w:rPr>
          <w:b w:val="1"/>
          <w:color w:val="000000"/>
        </w:rPr>
      </w:pPr>
      <w:r w:rsidDel="00000000" w:rsidR="00000000" w:rsidRPr="00000000">
        <w:rPr>
          <w:color w:val="000000"/>
          <w:rtl w:val="0"/>
        </w:rPr>
        <w:t xml:space="preserve">Theory — The supertrend indicator measures trend direction but not strength. It gives buy or sell signals when price crosses the indicator. In a sense, it is like a moving average and trailing stop hybrid. Since the indicator flips sides from above to below price action and back, it adds an element of the parabolics stop-and-reverse for actually making the trade. Because it measures trends, it is not useful during flat or choppy markets.</w:t>
      </w:r>
      <w:r w:rsidDel="00000000" w:rsidR="00000000" w:rsidRPr="00000000">
        <w:rPr>
          <w:rtl w:val="0"/>
        </w:rPr>
      </w:r>
    </w:p>
    <w:p w:rsidR="00000000" w:rsidDel="00000000" w:rsidP="00000000" w:rsidRDefault="00000000" w:rsidRPr="00000000" w14:paraId="0000012F">
      <w:pPr>
        <w:pStyle w:val="Heading3"/>
        <w:rPr/>
      </w:pPr>
      <w:bookmarkStart w:colFirst="0" w:colLast="0" w:name="_heading=h.2fk6b3p" w:id="52"/>
      <w:bookmarkEnd w:id="52"/>
      <w:r w:rsidDel="00000000" w:rsidR="00000000" w:rsidRPr="00000000">
        <w:rPr>
          <w:rtl w:val="0"/>
        </w:rPr>
        <w:t xml:space="preserve">Volume </w:t>
      </w:r>
    </w:p>
    <w:p w:rsidR="00000000" w:rsidDel="00000000" w:rsidP="00000000" w:rsidRDefault="00000000" w:rsidRPr="00000000" w14:paraId="00000130">
      <w:pPr>
        <w:keepNext w:val="1"/>
        <w:pBdr>
          <w:top w:space="0" w:sz="0" w:val="nil"/>
          <w:left w:space="0" w:sz="0" w:val="nil"/>
          <w:bottom w:space="0" w:sz="0" w:val="nil"/>
          <w:right w:space="0" w:sz="0" w:val="nil"/>
          <w:between w:space="0" w:sz="0" w:val="nil"/>
        </w:pBdr>
        <w:spacing w:after="120" w:lineRule="auto"/>
        <w:rPr>
          <w:color w:val="000000"/>
          <w:shd w:fill="fefefe" w:val="clear"/>
        </w:rPr>
      </w:pPr>
      <w:r w:rsidDel="00000000" w:rsidR="00000000" w:rsidRPr="00000000">
        <w:rPr>
          <w:color w:val="000000"/>
          <w:shd w:fill="fefefe" w:val="clear"/>
          <w:rtl w:val="0"/>
        </w:rPr>
        <w:t xml:space="preserve">Volume is used to quantify trading activity each period in a market, market sector, or individual instrument. It can be added as an underlay on the chart or in a separate window.</w:t>
      </w:r>
    </w:p>
    <w:p w:rsidR="00000000" w:rsidDel="00000000" w:rsidP="00000000" w:rsidRDefault="00000000" w:rsidRPr="00000000" w14:paraId="00000131">
      <w:pPr>
        <w:keepNext w:val="1"/>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Indicator Type — Activity indicator</w:t>
      </w:r>
      <w:r w:rsidDel="00000000" w:rsidR="00000000" w:rsidRPr="00000000">
        <w:rPr>
          <w:rtl w:val="0"/>
        </w:rPr>
      </w:r>
    </w:p>
    <w:p w:rsidR="00000000" w:rsidDel="00000000" w:rsidP="00000000" w:rsidRDefault="00000000" w:rsidRPr="00000000" w14:paraId="00000132">
      <w:pPr>
        <w:keepNext w:val="1"/>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Markets — All cash, futures, and options, although futures and forex may substitute end of day summaries and trade count data.</w:t>
      </w:r>
      <w:r w:rsidDel="00000000" w:rsidR="00000000" w:rsidRPr="00000000">
        <w:rPr>
          <w:rtl w:val="0"/>
        </w:rPr>
      </w:r>
    </w:p>
    <w:p w:rsidR="00000000" w:rsidDel="00000000" w:rsidP="00000000" w:rsidRDefault="00000000" w:rsidRPr="00000000" w14:paraId="00000133">
      <w:pPr>
        <w:keepNext w:val="1"/>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color w:val="000000"/>
          <w:rtl w:val="0"/>
        </w:rPr>
        <w:t xml:space="preserve">Works Best — All markets and time frames.</w:t>
      </w:r>
      <w:r w:rsidDel="00000000" w:rsidR="00000000" w:rsidRPr="00000000">
        <w:rPr>
          <w:rtl w:val="0"/>
        </w:rPr>
      </w:r>
    </w:p>
    <w:p w:rsidR="00000000" w:rsidDel="00000000" w:rsidP="00000000" w:rsidRDefault="00000000" w:rsidRPr="00000000" w14:paraId="00000134">
      <w:pPr>
        <w:keepLines w:val="1"/>
        <w:numPr>
          <w:ilvl w:val="0"/>
          <w:numId w:val="3"/>
        </w:numPr>
        <w:pBdr>
          <w:top w:space="0" w:sz="0" w:val="nil"/>
          <w:left w:space="0" w:sz="0" w:val="nil"/>
          <w:bottom w:space="0" w:sz="0" w:val="nil"/>
          <w:right w:space="0" w:sz="0" w:val="nil"/>
          <w:between w:space="0" w:sz="0" w:val="nil"/>
        </w:pBdr>
        <w:ind w:left="360" w:hanging="360"/>
        <w:rPr/>
      </w:pPr>
      <w:r w:rsidDel="00000000" w:rsidR="00000000" w:rsidRPr="00000000">
        <w:rPr>
          <w:color w:val="000000"/>
          <w:rtl w:val="0"/>
        </w:rPr>
        <w:t xml:space="preserve">Theory — Volume is simply the number of shares, contracts, or units changing hands in a given period (day, week, hour). It is reported in real-time (or delayed) with each trade. Markets that do not have trade-by-trade reported volume substitute daily summary data or trade count data. Trending markets should be accompanied by rising volume. Exhausted markets are usually accompanied by falling volume or unusually high-volume spikes.</w:t>
      </w:r>
      <w:r w:rsidDel="00000000" w:rsidR="00000000" w:rsidRPr="00000000">
        <w:rPr>
          <w:rtl w:val="0"/>
        </w:rPr>
      </w:r>
    </w:p>
    <w:p w:rsidR="00000000" w:rsidDel="00000000" w:rsidP="00000000" w:rsidRDefault="00000000" w:rsidRPr="00000000" w14:paraId="00000135">
      <w:pPr>
        <w:rPr>
          <w:color w:val="3b7262"/>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36">
      <w:pPr>
        <w:pStyle w:val="Heading2"/>
        <w:rPr/>
      </w:pPr>
      <w:bookmarkStart w:colFirst="0" w:colLast="0" w:name="_heading=h.upglbi" w:id="53"/>
      <w:bookmarkEnd w:id="53"/>
      <w:r w:rsidDel="00000000" w:rsidR="00000000" w:rsidRPr="00000000">
        <w:rPr>
          <w:rtl w:val="0"/>
        </w:rPr>
        <w:t xml:space="preserve">All studies</w:t>
      </w:r>
    </w:p>
    <w:p w:rsidR="00000000" w:rsidDel="00000000" w:rsidP="00000000" w:rsidRDefault="00000000" w:rsidRPr="00000000" w14:paraId="00000137">
      <w:pPr>
        <w:rPr/>
      </w:pPr>
      <w:r w:rsidDel="00000000" w:rsidR="00000000" w:rsidRPr="00000000">
        <w:rPr>
          <w:rtl w:val="0"/>
        </w:rPr>
        <w:t xml:space="preserve">The following is a list of all the technical indicators included in the ChartIQ library.</w:t>
      </w:r>
    </w:p>
    <w:p w:rsidR="00000000" w:rsidDel="00000000" w:rsidP="00000000" w:rsidRDefault="00000000" w:rsidRPr="00000000" w14:paraId="00000138">
      <w:pPr>
        <w:rPr/>
      </w:pPr>
      <w:r w:rsidDel="00000000" w:rsidR="00000000" w:rsidRPr="00000000">
        <w:rPr>
          <w:rtl w:val="0"/>
        </w:rPr>
        <w:t xml:space="preserve">See the </w:t>
      </w:r>
      <w:hyperlink r:id="rId44">
        <w:r w:rsidDel="00000000" w:rsidR="00000000" w:rsidRPr="00000000">
          <w:rPr>
            <w:color w:val="0000ff"/>
            <w:u w:val="single"/>
            <w:rtl w:val="0"/>
          </w:rPr>
          <w:t xml:space="preserve">Built-In Studies Reference Guide</w:t>
        </w:r>
      </w:hyperlink>
      <w:r w:rsidDel="00000000" w:rsidR="00000000" w:rsidRPr="00000000">
        <w:rPr>
          <w:rtl w:val="0"/>
        </w:rPr>
        <w:t xml:space="preserve"> for detailed information.</w:t>
      </w:r>
    </w:p>
    <w:tbl>
      <w:tblPr>
        <w:tblStyle w:val="Table1"/>
        <w:tblW w:w="9356.0" w:type="dxa"/>
        <w:jc w:val="left"/>
        <w:tblInd w:w="0.0" w:type="dxa"/>
        <w:tblBorders>
          <w:insideH w:color="000000" w:space="0" w:sz="8" w:val="single"/>
        </w:tblBorders>
        <w:tblLayout w:type="fixed"/>
        <w:tblLook w:val="0600"/>
      </w:tblPr>
      <w:tblGrid>
        <w:gridCol w:w="3240"/>
        <w:gridCol w:w="2160"/>
        <w:gridCol w:w="3956"/>
        <w:tblGridChange w:id="0">
          <w:tblGrid>
            <w:gridCol w:w="3240"/>
            <w:gridCol w:w="2160"/>
            <w:gridCol w:w="3956"/>
          </w:tblGrid>
        </w:tblGridChange>
      </w:tblGrid>
      <w:tr>
        <w:trPr>
          <w:cantSplit w:val="0"/>
          <w:tblHeader w:val="1"/>
        </w:trPr>
        <w:tc>
          <w:tcPr>
            <w:tcMar>
              <w:top w:w="40.0" w:type="dxa"/>
              <w:left w:w="40.0" w:type="dxa"/>
              <w:bottom w:w="40.0" w:type="dxa"/>
              <w:right w:w="40.0" w:type="dxa"/>
            </w:tcMar>
          </w:tcPr>
          <w:p w:rsidR="00000000" w:rsidDel="00000000" w:rsidP="00000000" w:rsidRDefault="00000000" w:rsidRPr="00000000" w14:paraId="00000139">
            <w:pPr>
              <w:pBdr>
                <w:top w:space="0" w:sz="0" w:val="nil"/>
                <w:left w:space="0" w:sz="0" w:val="nil"/>
                <w:bottom w:space="0" w:sz="0" w:val="nil"/>
                <w:right w:space="0" w:sz="0" w:val="nil"/>
                <w:between w:space="0" w:sz="0" w:val="nil"/>
              </w:pBdr>
              <w:spacing w:after="80" w:lineRule="auto"/>
              <w:rPr>
                <w:b w:val="1"/>
                <w:color w:val="000000"/>
              </w:rPr>
            </w:pPr>
            <w:r w:rsidDel="00000000" w:rsidR="00000000" w:rsidRPr="00000000">
              <w:rPr>
                <w:b w:val="1"/>
                <w:color w:val="000000"/>
                <w:rtl w:val="0"/>
              </w:rPr>
              <w:t xml:space="preserve">Name</w:t>
            </w:r>
          </w:p>
        </w:tc>
        <w:tc>
          <w:tcPr>
            <w:tcMar>
              <w:top w:w="40.0" w:type="dxa"/>
              <w:left w:w="40.0" w:type="dxa"/>
              <w:bottom w:w="40.0" w:type="dxa"/>
              <w:right w:w="40.0" w:type="dxa"/>
            </w:tcMar>
          </w:tcPr>
          <w:p w:rsidR="00000000" w:rsidDel="00000000" w:rsidP="00000000" w:rsidRDefault="00000000" w:rsidRPr="00000000" w14:paraId="0000013A">
            <w:pPr>
              <w:pBdr>
                <w:top w:space="0" w:sz="0" w:val="nil"/>
                <w:left w:space="0" w:sz="0" w:val="nil"/>
                <w:bottom w:space="0" w:sz="0" w:val="nil"/>
                <w:right w:space="0" w:sz="0" w:val="nil"/>
                <w:between w:space="0" w:sz="0" w:val="nil"/>
              </w:pBdr>
              <w:spacing w:after="80" w:lineRule="auto"/>
              <w:rPr>
                <w:b w:val="1"/>
                <w:color w:val="000000"/>
              </w:rPr>
            </w:pPr>
            <w:r w:rsidDel="00000000" w:rsidR="00000000" w:rsidRPr="00000000">
              <w:rPr>
                <w:b w:val="1"/>
                <w:color w:val="000000"/>
                <w:rtl w:val="0"/>
              </w:rPr>
              <w:t xml:space="preserve">Short Name</w:t>
            </w:r>
          </w:p>
        </w:tc>
        <w:tc>
          <w:tcPr>
            <w:tcMar>
              <w:top w:w="40.0" w:type="dxa"/>
              <w:left w:w="40.0" w:type="dxa"/>
              <w:bottom w:w="40.0" w:type="dxa"/>
              <w:right w:w="40.0" w:type="dxa"/>
            </w:tcMar>
          </w:tcPr>
          <w:p w:rsidR="00000000" w:rsidDel="00000000" w:rsidP="00000000" w:rsidRDefault="00000000" w:rsidRPr="00000000" w14:paraId="0000013B">
            <w:pPr>
              <w:pBdr>
                <w:top w:space="0" w:sz="0" w:val="nil"/>
                <w:left w:space="0" w:sz="0" w:val="nil"/>
                <w:bottom w:space="0" w:sz="0" w:val="nil"/>
                <w:right w:space="0" w:sz="0" w:val="nil"/>
                <w:between w:space="0" w:sz="0" w:val="nil"/>
              </w:pBdr>
              <w:spacing w:after="80" w:lineRule="auto"/>
              <w:rPr>
                <w:b w:val="1"/>
                <w:color w:val="000000"/>
              </w:rPr>
            </w:pPr>
            <w:r w:rsidDel="00000000" w:rsidR="00000000" w:rsidRPr="00000000">
              <w:rPr>
                <w:b w:val="1"/>
                <w:color w:val="000000"/>
                <w:rtl w:val="0"/>
              </w:rPr>
              <w:t xml:space="preserve">Features</w:t>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3C">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ADX/DMS</w:t>
            </w:r>
          </w:p>
        </w:tc>
        <w:tc>
          <w:tcPr>
            <w:tcMar>
              <w:top w:w="40.0" w:type="dxa"/>
              <w:left w:w="40.0" w:type="dxa"/>
              <w:bottom w:w="40.0" w:type="dxa"/>
              <w:right w:w="40.0" w:type="dxa"/>
            </w:tcMar>
          </w:tcPr>
          <w:p w:rsidR="00000000" w:rsidDel="00000000" w:rsidP="00000000" w:rsidRDefault="00000000" w:rsidRPr="00000000" w14:paraId="0000013D">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ADX</w:t>
            </w:r>
          </w:p>
        </w:tc>
        <w:tc>
          <w:tcPr>
            <w:tcMar>
              <w:top w:w="40.0" w:type="dxa"/>
              <w:left w:w="40.0" w:type="dxa"/>
              <w:bottom w:w="40.0" w:type="dxa"/>
              <w:right w:w="40.0" w:type="dxa"/>
            </w:tcMar>
          </w:tcPr>
          <w:p w:rsidR="00000000" w:rsidDel="00000000" w:rsidP="00000000" w:rsidRDefault="00000000" w:rsidRPr="00000000" w14:paraId="0000013E">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3F">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ATR Bands</w:t>
            </w:r>
          </w:p>
        </w:tc>
        <w:tc>
          <w:tcPr>
            <w:tcMar>
              <w:top w:w="40.0" w:type="dxa"/>
              <w:left w:w="40.0" w:type="dxa"/>
              <w:bottom w:w="40.0" w:type="dxa"/>
              <w:right w:w="40.0" w:type="dxa"/>
            </w:tcMar>
          </w:tcPr>
          <w:p w:rsidR="00000000" w:rsidDel="00000000" w:rsidP="00000000" w:rsidRDefault="00000000" w:rsidRPr="00000000" w14:paraId="00000140">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ATR Bands</w:t>
            </w:r>
          </w:p>
        </w:tc>
        <w:tc>
          <w:tcPr>
            <w:tcMar>
              <w:top w:w="40.0" w:type="dxa"/>
              <w:left w:w="40.0" w:type="dxa"/>
              <w:bottom w:w="40.0" w:type="dxa"/>
              <w:right w:w="40.0" w:type="dxa"/>
            </w:tcMar>
          </w:tcPr>
          <w:p w:rsidR="00000000" w:rsidDel="00000000" w:rsidP="00000000" w:rsidRDefault="00000000" w:rsidRPr="00000000" w14:paraId="00000141">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42">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ATR Trailing Stops</w:t>
            </w:r>
          </w:p>
        </w:tc>
        <w:tc>
          <w:tcPr>
            <w:tcMar>
              <w:top w:w="40.0" w:type="dxa"/>
              <w:left w:w="40.0" w:type="dxa"/>
              <w:bottom w:w="40.0" w:type="dxa"/>
              <w:right w:w="40.0" w:type="dxa"/>
            </w:tcMar>
          </w:tcPr>
          <w:p w:rsidR="00000000" w:rsidDel="00000000" w:rsidP="00000000" w:rsidRDefault="00000000" w:rsidRPr="00000000" w14:paraId="00000143">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ATR Trailing Stop</w:t>
            </w:r>
          </w:p>
        </w:tc>
        <w:tc>
          <w:tcPr>
            <w:tcMar>
              <w:top w:w="40.0" w:type="dxa"/>
              <w:left w:w="40.0" w:type="dxa"/>
              <w:bottom w:w="40.0" w:type="dxa"/>
              <w:right w:w="40.0" w:type="dxa"/>
            </w:tcMar>
          </w:tcPr>
          <w:p w:rsidR="00000000" w:rsidDel="00000000" w:rsidP="00000000" w:rsidRDefault="00000000" w:rsidRPr="00000000" w14:paraId="00000144">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45">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Accumulation/Distribution</w:t>
            </w:r>
          </w:p>
        </w:tc>
        <w:tc>
          <w:tcPr>
            <w:tcMar>
              <w:top w:w="40.0" w:type="dxa"/>
              <w:left w:w="40.0" w:type="dxa"/>
              <w:bottom w:w="40.0" w:type="dxa"/>
              <w:right w:w="40.0" w:type="dxa"/>
            </w:tcMar>
          </w:tcPr>
          <w:p w:rsidR="00000000" w:rsidDel="00000000" w:rsidP="00000000" w:rsidRDefault="00000000" w:rsidRPr="00000000" w14:paraId="00000146">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W Acc Dist</w:t>
            </w:r>
          </w:p>
        </w:tc>
        <w:tc>
          <w:tcPr>
            <w:tcMar>
              <w:top w:w="40.0" w:type="dxa"/>
              <w:left w:w="40.0" w:type="dxa"/>
              <w:bottom w:w="40.0" w:type="dxa"/>
              <w:right w:w="40.0" w:type="dxa"/>
            </w:tcMar>
          </w:tcPr>
          <w:p w:rsidR="00000000" w:rsidDel="00000000" w:rsidP="00000000" w:rsidRDefault="00000000" w:rsidRPr="00000000" w14:paraId="00000147">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48">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Accumulative Swing Index</w:t>
            </w:r>
          </w:p>
        </w:tc>
        <w:tc>
          <w:tcPr>
            <w:tcMar>
              <w:top w:w="40.0" w:type="dxa"/>
              <w:left w:w="40.0" w:type="dxa"/>
              <w:bottom w:w="40.0" w:type="dxa"/>
              <w:right w:w="40.0" w:type="dxa"/>
            </w:tcMar>
          </w:tcPr>
          <w:p w:rsidR="00000000" w:rsidDel="00000000" w:rsidP="00000000" w:rsidRDefault="00000000" w:rsidRPr="00000000" w14:paraId="00000149">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Acc Swing</w:t>
            </w:r>
          </w:p>
        </w:tc>
        <w:tc>
          <w:tcPr>
            <w:tcMar>
              <w:top w:w="40.0" w:type="dxa"/>
              <w:left w:w="40.0" w:type="dxa"/>
              <w:bottom w:w="40.0" w:type="dxa"/>
              <w:right w:w="40.0" w:type="dxa"/>
            </w:tcMar>
          </w:tcPr>
          <w:p w:rsidR="00000000" w:rsidDel="00000000" w:rsidP="00000000" w:rsidRDefault="00000000" w:rsidRPr="00000000" w14:paraId="0000014A">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4B">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Alligator</w:t>
            </w:r>
          </w:p>
        </w:tc>
        <w:tc>
          <w:tcPr>
            <w:tcMar>
              <w:top w:w="40.0" w:type="dxa"/>
              <w:left w:w="40.0" w:type="dxa"/>
              <w:bottom w:w="40.0" w:type="dxa"/>
              <w:right w:w="40.0" w:type="dxa"/>
            </w:tcMar>
          </w:tcPr>
          <w:p w:rsidR="00000000" w:rsidDel="00000000" w:rsidP="00000000" w:rsidRDefault="00000000" w:rsidRPr="00000000" w14:paraId="0000014C">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Alligator</w:t>
            </w:r>
          </w:p>
        </w:tc>
        <w:tc>
          <w:tcPr>
            <w:tcMar>
              <w:top w:w="40.0" w:type="dxa"/>
              <w:left w:w="40.0" w:type="dxa"/>
              <w:bottom w:w="40.0" w:type="dxa"/>
              <w:right w:w="40.0" w:type="dxa"/>
            </w:tcMar>
          </w:tcPr>
          <w:p w:rsidR="00000000" w:rsidDel="00000000" w:rsidP="00000000" w:rsidRDefault="00000000" w:rsidRPr="00000000" w14:paraId="0000014D">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The Alligator study can now hide its Jaw, Teeth, and Lips lines, enabling users to show only the Fractal arrows to emphasize trading signals. To hide the lines, clear the Show Lines check box in the study settings panel.</w:t>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Pr>
              <w:drawing>
                <wp:inline distB="114300" distT="114300" distL="114300" distR="114300">
                  <wp:extent cx="2394348" cy="1339161"/>
                  <wp:effectExtent b="0" l="0" r="0" t="0"/>
                  <wp:docPr id="318" name="image10.png"/>
                  <a:graphic>
                    <a:graphicData uri="http://schemas.openxmlformats.org/drawingml/2006/picture">
                      <pic:pic>
                        <pic:nvPicPr>
                          <pic:cNvPr id="0" name="image10.png"/>
                          <pic:cNvPicPr preferRelativeResize="0"/>
                        </pic:nvPicPr>
                        <pic:blipFill>
                          <a:blip r:embed="rId45"/>
                          <a:srcRect b="0" l="0" r="0" t="0"/>
                          <a:stretch>
                            <a:fillRect/>
                          </a:stretch>
                        </pic:blipFill>
                        <pic:spPr>
                          <a:xfrm>
                            <a:off x="0" y="0"/>
                            <a:ext cx="2394348" cy="1339161"/>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b w:val="1"/>
                <w:color w:val="000000"/>
                <w:rtl w:val="0"/>
              </w:rPr>
              <w:t xml:space="preserve">Note:</w:t>
            </w:r>
            <w:r w:rsidDel="00000000" w:rsidR="00000000" w:rsidRPr="00000000">
              <w:rPr>
                <w:color w:val="000000"/>
                <w:rtl w:val="0"/>
              </w:rPr>
              <w:t xml:space="preserve"> The Alligator study is part of the Technical Analysis Charting Package.</w:t>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50">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Anchored VWAP</w:t>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(Anchored Volume Weighted Average Price)</w:t>
            </w:r>
          </w:p>
        </w:tc>
        <w:tc>
          <w:tcPr>
            <w:tcMar>
              <w:top w:w="40.0" w:type="dxa"/>
              <w:left w:w="40.0" w:type="dxa"/>
              <w:bottom w:w="40.0" w:type="dxa"/>
              <w:right w:w="40.0" w:type="dxa"/>
            </w:tcMar>
          </w:tcPr>
          <w:p w:rsidR="00000000" w:rsidDel="00000000" w:rsidP="00000000" w:rsidRDefault="00000000" w:rsidRPr="00000000" w14:paraId="00000152">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AVWAP</w:t>
            </w:r>
          </w:p>
        </w:tc>
        <w:tc>
          <w:tcPr>
            <w:tcMar>
              <w:top w:w="40.0" w:type="dxa"/>
              <w:left w:w="40.0" w:type="dxa"/>
              <w:bottom w:w="40.0" w:type="dxa"/>
              <w:right w:w="40.0" w:type="dxa"/>
            </w:tcMar>
          </w:tcPr>
          <w:p w:rsidR="00000000" w:rsidDel="00000000" w:rsidP="00000000" w:rsidRDefault="00000000" w:rsidRPr="00000000" w14:paraId="00000153">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54">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Aroon</w:t>
            </w:r>
          </w:p>
        </w:tc>
        <w:tc>
          <w:tcPr>
            <w:tcMar>
              <w:top w:w="40.0" w:type="dxa"/>
              <w:left w:w="40.0" w:type="dxa"/>
              <w:bottom w:w="40.0" w:type="dxa"/>
              <w:right w:w="40.0" w:type="dxa"/>
            </w:tcMar>
          </w:tcPr>
          <w:p w:rsidR="00000000" w:rsidDel="00000000" w:rsidP="00000000" w:rsidRDefault="00000000" w:rsidRPr="00000000" w14:paraId="00000155">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Aroon</w:t>
            </w:r>
          </w:p>
        </w:tc>
        <w:tc>
          <w:tcPr>
            <w:tcMar>
              <w:top w:w="40.0" w:type="dxa"/>
              <w:left w:w="40.0" w:type="dxa"/>
              <w:bottom w:w="40.0" w:type="dxa"/>
              <w:right w:w="40.0" w:type="dxa"/>
            </w:tcMar>
          </w:tcPr>
          <w:p w:rsidR="00000000" w:rsidDel="00000000" w:rsidP="00000000" w:rsidRDefault="00000000" w:rsidRPr="00000000" w14:paraId="00000156">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57">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Aroon Oscillator</w:t>
            </w:r>
          </w:p>
        </w:tc>
        <w:tc>
          <w:tcPr>
            <w:tcMar>
              <w:top w:w="40.0" w:type="dxa"/>
              <w:left w:w="40.0" w:type="dxa"/>
              <w:bottom w:w="40.0" w:type="dxa"/>
              <w:right w:w="40.0" w:type="dxa"/>
            </w:tcMar>
          </w:tcPr>
          <w:p w:rsidR="00000000" w:rsidDel="00000000" w:rsidP="00000000" w:rsidRDefault="00000000" w:rsidRPr="00000000" w14:paraId="00000158">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Aroon Osc</w:t>
            </w:r>
          </w:p>
        </w:tc>
        <w:tc>
          <w:tcPr>
            <w:tcMar>
              <w:top w:w="40.0" w:type="dxa"/>
              <w:left w:w="40.0" w:type="dxa"/>
              <w:bottom w:w="40.0" w:type="dxa"/>
              <w:right w:w="40.0" w:type="dxa"/>
            </w:tcMar>
          </w:tcPr>
          <w:p w:rsidR="00000000" w:rsidDel="00000000" w:rsidP="00000000" w:rsidRDefault="00000000" w:rsidRPr="00000000" w14:paraId="00000159">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5A">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Average True Range</w:t>
            </w:r>
          </w:p>
        </w:tc>
        <w:tc>
          <w:tcPr>
            <w:tcMar>
              <w:top w:w="40.0" w:type="dxa"/>
              <w:left w:w="40.0" w:type="dxa"/>
              <w:bottom w:w="40.0" w:type="dxa"/>
              <w:right w:w="40.0" w:type="dxa"/>
            </w:tcMar>
          </w:tcPr>
          <w:p w:rsidR="00000000" w:rsidDel="00000000" w:rsidP="00000000" w:rsidRDefault="00000000" w:rsidRPr="00000000" w14:paraId="0000015B">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ATR</w:t>
            </w:r>
          </w:p>
        </w:tc>
        <w:tc>
          <w:tcPr>
            <w:tcMar>
              <w:top w:w="40.0" w:type="dxa"/>
              <w:left w:w="40.0" w:type="dxa"/>
              <w:bottom w:w="40.0" w:type="dxa"/>
              <w:right w:w="40.0" w:type="dxa"/>
            </w:tcMar>
          </w:tcPr>
          <w:p w:rsidR="00000000" w:rsidDel="00000000" w:rsidP="00000000" w:rsidRDefault="00000000" w:rsidRPr="00000000" w14:paraId="0000015C">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5D">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Awesome Oscillator</w:t>
            </w:r>
          </w:p>
        </w:tc>
        <w:tc>
          <w:tcPr>
            <w:tcMar>
              <w:top w:w="40.0" w:type="dxa"/>
              <w:left w:w="40.0" w:type="dxa"/>
              <w:bottom w:w="40.0" w:type="dxa"/>
              <w:right w:w="40.0" w:type="dxa"/>
            </w:tcMar>
          </w:tcPr>
          <w:p w:rsidR="00000000" w:rsidDel="00000000" w:rsidP="00000000" w:rsidRDefault="00000000" w:rsidRPr="00000000" w14:paraId="0000015E">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Awesome</w:t>
            </w:r>
          </w:p>
        </w:tc>
        <w:tc>
          <w:tcPr>
            <w:tcMar>
              <w:top w:w="40.0" w:type="dxa"/>
              <w:left w:w="40.0" w:type="dxa"/>
              <w:bottom w:w="40.0" w:type="dxa"/>
              <w:right w:w="40.0" w:type="dxa"/>
            </w:tcMar>
          </w:tcPr>
          <w:p w:rsidR="00000000" w:rsidDel="00000000" w:rsidP="00000000" w:rsidRDefault="00000000" w:rsidRPr="00000000" w14:paraId="0000015F">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60">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Balance of Power</w:t>
            </w:r>
          </w:p>
        </w:tc>
        <w:tc>
          <w:tcPr>
            <w:tcMar>
              <w:top w:w="40.0" w:type="dxa"/>
              <w:left w:w="40.0" w:type="dxa"/>
              <w:bottom w:w="40.0" w:type="dxa"/>
              <w:right w:w="40.0" w:type="dxa"/>
            </w:tcMar>
          </w:tcPr>
          <w:p w:rsidR="00000000" w:rsidDel="00000000" w:rsidP="00000000" w:rsidRDefault="00000000" w:rsidRPr="00000000" w14:paraId="00000161">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Bal Pwr</w:t>
            </w:r>
          </w:p>
        </w:tc>
        <w:tc>
          <w:tcPr>
            <w:tcMar>
              <w:top w:w="40.0" w:type="dxa"/>
              <w:left w:w="40.0" w:type="dxa"/>
              <w:bottom w:w="40.0" w:type="dxa"/>
              <w:right w:w="40.0" w:type="dxa"/>
            </w:tcMar>
          </w:tcPr>
          <w:p w:rsidR="00000000" w:rsidDel="00000000" w:rsidP="00000000" w:rsidRDefault="00000000" w:rsidRPr="00000000" w14:paraId="00000162">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63">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Beta</w:t>
            </w:r>
          </w:p>
        </w:tc>
        <w:tc>
          <w:tcPr>
            <w:tcMar>
              <w:top w:w="40.0" w:type="dxa"/>
              <w:left w:w="40.0" w:type="dxa"/>
              <w:bottom w:w="40.0" w:type="dxa"/>
              <w:right w:w="40.0" w:type="dxa"/>
            </w:tcMar>
          </w:tcPr>
          <w:p w:rsidR="00000000" w:rsidDel="00000000" w:rsidP="00000000" w:rsidRDefault="00000000" w:rsidRPr="00000000" w14:paraId="00000164">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Beta</w:t>
            </w:r>
          </w:p>
        </w:tc>
        <w:tc>
          <w:tcPr>
            <w:tcMar>
              <w:top w:w="40.0" w:type="dxa"/>
              <w:left w:w="40.0" w:type="dxa"/>
              <w:bottom w:w="40.0" w:type="dxa"/>
              <w:right w:w="40.0" w:type="dxa"/>
            </w:tcMar>
          </w:tcPr>
          <w:p w:rsidR="00000000" w:rsidDel="00000000" w:rsidP="00000000" w:rsidRDefault="00000000" w:rsidRPr="00000000" w14:paraId="00000165">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66">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Bollinger %b</w:t>
            </w:r>
          </w:p>
        </w:tc>
        <w:tc>
          <w:tcPr>
            <w:tcMar>
              <w:top w:w="40.0" w:type="dxa"/>
              <w:left w:w="40.0" w:type="dxa"/>
              <w:bottom w:w="40.0" w:type="dxa"/>
              <w:right w:w="40.0" w:type="dxa"/>
            </w:tcMar>
          </w:tcPr>
          <w:p w:rsidR="00000000" w:rsidDel="00000000" w:rsidP="00000000" w:rsidRDefault="00000000" w:rsidRPr="00000000" w14:paraId="00000167">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Boll %b</w:t>
            </w:r>
          </w:p>
        </w:tc>
        <w:tc>
          <w:tcPr>
            <w:tcMar>
              <w:top w:w="40.0" w:type="dxa"/>
              <w:left w:w="40.0" w:type="dxa"/>
              <w:bottom w:w="40.0" w:type="dxa"/>
              <w:right w:w="40.0" w:type="dxa"/>
            </w:tcMar>
          </w:tcPr>
          <w:p w:rsidR="00000000" w:rsidDel="00000000" w:rsidP="00000000" w:rsidRDefault="00000000" w:rsidRPr="00000000" w14:paraId="00000168">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69">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Bollinger Bands</w:t>
            </w:r>
          </w:p>
        </w:tc>
        <w:tc>
          <w:tcPr>
            <w:tcMar>
              <w:top w:w="40.0" w:type="dxa"/>
              <w:left w:w="40.0" w:type="dxa"/>
              <w:bottom w:w="40.0" w:type="dxa"/>
              <w:right w:w="40.0" w:type="dxa"/>
            </w:tcMar>
          </w:tcPr>
          <w:p w:rsidR="00000000" w:rsidDel="00000000" w:rsidP="00000000" w:rsidRDefault="00000000" w:rsidRPr="00000000" w14:paraId="0000016A">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Bollinger Bands</w:t>
            </w:r>
          </w:p>
        </w:tc>
        <w:tc>
          <w:tcPr>
            <w:tcMar>
              <w:top w:w="40.0" w:type="dxa"/>
              <w:left w:w="40.0" w:type="dxa"/>
              <w:bottom w:w="40.0" w:type="dxa"/>
              <w:right w:w="40.0" w:type="dxa"/>
            </w:tcMar>
          </w:tcPr>
          <w:p w:rsidR="00000000" w:rsidDel="00000000" w:rsidP="00000000" w:rsidRDefault="00000000" w:rsidRPr="00000000" w14:paraId="0000016B">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6C">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Bollinger Bandwidth</w:t>
            </w:r>
          </w:p>
        </w:tc>
        <w:tc>
          <w:tcPr>
            <w:tcMar>
              <w:top w:w="40.0" w:type="dxa"/>
              <w:left w:w="40.0" w:type="dxa"/>
              <w:bottom w:w="40.0" w:type="dxa"/>
              <w:right w:w="40.0" w:type="dxa"/>
            </w:tcMar>
          </w:tcPr>
          <w:p w:rsidR="00000000" w:rsidDel="00000000" w:rsidP="00000000" w:rsidRDefault="00000000" w:rsidRPr="00000000" w14:paraId="0000016D">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Boll BW</w:t>
            </w:r>
          </w:p>
        </w:tc>
        <w:tc>
          <w:tcPr>
            <w:tcMar>
              <w:top w:w="40.0" w:type="dxa"/>
              <w:left w:w="40.0" w:type="dxa"/>
              <w:bottom w:w="40.0" w:type="dxa"/>
              <w:right w:w="40.0" w:type="dxa"/>
            </w:tcMar>
          </w:tcPr>
          <w:p w:rsidR="00000000" w:rsidDel="00000000" w:rsidP="00000000" w:rsidRDefault="00000000" w:rsidRPr="00000000" w14:paraId="0000016E">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6F">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Center of Gravity</w:t>
            </w:r>
          </w:p>
        </w:tc>
        <w:tc>
          <w:tcPr>
            <w:tcMar>
              <w:top w:w="40.0" w:type="dxa"/>
              <w:left w:w="40.0" w:type="dxa"/>
              <w:bottom w:w="40.0" w:type="dxa"/>
              <w:right w:w="40.0" w:type="dxa"/>
            </w:tcMar>
          </w:tcPr>
          <w:p w:rsidR="00000000" w:rsidDel="00000000" w:rsidP="00000000" w:rsidRDefault="00000000" w:rsidRPr="00000000" w14:paraId="00000170">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COG</w:t>
            </w:r>
          </w:p>
        </w:tc>
        <w:tc>
          <w:tcPr>
            <w:tcMar>
              <w:top w:w="40.0" w:type="dxa"/>
              <w:left w:w="40.0" w:type="dxa"/>
              <w:bottom w:w="40.0" w:type="dxa"/>
              <w:right w:w="40.0" w:type="dxa"/>
            </w:tcMar>
          </w:tcPr>
          <w:p w:rsidR="00000000" w:rsidDel="00000000" w:rsidP="00000000" w:rsidRDefault="00000000" w:rsidRPr="00000000" w14:paraId="00000171">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72">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Chaikin Money Flow</w:t>
            </w:r>
          </w:p>
        </w:tc>
        <w:tc>
          <w:tcPr>
            <w:tcMar>
              <w:top w:w="40.0" w:type="dxa"/>
              <w:left w:w="40.0" w:type="dxa"/>
              <w:bottom w:w="40.0" w:type="dxa"/>
              <w:right w:w="40.0" w:type="dxa"/>
            </w:tcMar>
          </w:tcPr>
          <w:p w:rsidR="00000000" w:rsidDel="00000000" w:rsidP="00000000" w:rsidRDefault="00000000" w:rsidRPr="00000000" w14:paraId="00000173">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Chaikin MF</w:t>
            </w:r>
          </w:p>
        </w:tc>
        <w:tc>
          <w:tcPr>
            <w:tcMar>
              <w:top w:w="40.0" w:type="dxa"/>
              <w:left w:w="40.0" w:type="dxa"/>
              <w:bottom w:w="40.0" w:type="dxa"/>
              <w:right w:w="40.0" w:type="dxa"/>
            </w:tcMar>
          </w:tcPr>
          <w:p w:rsidR="00000000" w:rsidDel="00000000" w:rsidP="00000000" w:rsidRDefault="00000000" w:rsidRPr="00000000" w14:paraId="00000174">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75">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Chaikin Volatility</w:t>
            </w:r>
          </w:p>
        </w:tc>
        <w:tc>
          <w:tcPr>
            <w:tcMar>
              <w:top w:w="40.0" w:type="dxa"/>
              <w:left w:w="40.0" w:type="dxa"/>
              <w:bottom w:w="40.0" w:type="dxa"/>
              <w:right w:w="40.0" w:type="dxa"/>
            </w:tcMar>
          </w:tcPr>
          <w:p w:rsidR="00000000" w:rsidDel="00000000" w:rsidP="00000000" w:rsidRDefault="00000000" w:rsidRPr="00000000" w14:paraId="00000176">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Chaikin Vol</w:t>
            </w:r>
          </w:p>
        </w:tc>
        <w:tc>
          <w:tcPr>
            <w:tcMar>
              <w:top w:w="40.0" w:type="dxa"/>
              <w:left w:w="40.0" w:type="dxa"/>
              <w:bottom w:w="40.0" w:type="dxa"/>
              <w:right w:w="40.0" w:type="dxa"/>
            </w:tcMar>
          </w:tcPr>
          <w:p w:rsidR="00000000" w:rsidDel="00000000" w:rsidP="00000000" w:rsidRDefault="00000000" w:rsidRPr="00000000" w14:paraId="00000177">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78">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Chande Forecast Oscillator</w:t>
            </w:r>
          </w:p>
        </w:tc>
        <w:tc>
          <w:tcPr>
            <w:tcMar>
              <w:top w:w="40.0" w:type="dxa"/>
              <w:left w:w="40.0" w:type="dxa"/>
              <w:bottom w:w="40.0" w:type="dxa"/>
              <w:right w:w="40.0" w:type="dxa"/>
            </w:tcMar>
          </w:tcPr>
          <w:p w:rsidR="00000000" w:rsidDel="00000000" w:rsidP="00000000" w:rsidRDefault="00000000" w:rsidRPr="00000000" w14:paraId="00000179">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Chande Fcst</w:t>
            </w:r>
          </w:p>
        </w:tc>
        <w:tc>
          <w:tcPr>
            <w:tcMar>
              <w:top w:w="40.0" w:type="dxa"/>
              <w:left w:w="40.0" w:type="dxa"/>
              <w:bottom w:w="40.0" w:type="dxa"/>
              <w:right w:w="40.0" w:type="dxa"/>
            </w:tcMar>
          </w:tcPr>
          <w:p w:rsidR="00000000" w:rsidDel="00000000" w:rsidP="00000000" w:rsidRDefault="00000000" w:rsidRPr="00000000" w14:paraId="0000017A">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7B">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Chande Momentum Oscillator</w:t>
            </w:r>
          </w:p>
        </w:tc>
        <w:tc>
          <w:tcPr>
            <w:tcMar>
              <w:top w:w="40.0" w:type="dxa"/>
              <w:left w:w="40.0" w:type="dxa"/>
              <w:bottom w:w="40.0" w:type="dxa"/>
              <w:right w:w="40.0" w:type="dxa"/>
            </w:tcMar>
          </w:tcPr>
          <w:p w:rsidR="00000000" w:rsidDel="00000000" w:rsidP="00000000" w:rsidRDefault="00000000" w:rsidRPr="00000000" w14:paraId="0000017C">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Chande Mtm</w:t>
            </w:r>
          </w:p>
        </w:tc>
        <w:tc>
          <w:tcPr>
            <w:tcMar>
              <w:top w:w="40.0" w:type="dxa"/>
              <w:left w:w="40.0" w:type="dxa"/>
              <w:bottom w:w="40.0" w:type="dxa"/>
              <w:right w:w="40.0" w:type="dxa"/>
            </w:tcMar>
          </w:tcPr>
          <w:p w:rsidR="00000000" w:rsidDel="00000000" w:rsidP="00000000" w:rsidRDefault="00000000" w:rsidRPr="00000000" w14:paraId="0000017D">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7E">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Choppiness Index</w:t>
            </w:r>
          </w:p>
        </w:tc>
        <w:tc>
          <w:tcPr>
            <w:tcMar>
              <w:top w:w="40.0" w:type="dxa"/>
              <w:left w:w="40.0" w:type="dxa"/>
              <w:bottom w:w="40.0" w:type="dxa"/>
              <w:right w:w="40.0" w:type="dxa"/>
            </w:tcMar>
          </w:tcPr>
          <w:p w:rsidR="00000000" w:rsidDel="00000000" w:rsidP="00000000" w:rsidRDefault="00000000" w:rsidRPr="00000000" w14:paraId="0000017F">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Choppiness</w:t>
            </w:r>
          </w:p>
        </w:tc>
        <w:tc>
          <w:tcPr>
            <w:tcMar>
              <w:top w:w="40.0" w:type="dxa"/>
              <w:left w:w="40.0" w:type="dxa"/>
              <w:bottom w:w="40.0" w:type="dxa"/>
              <w:right w:w="40.0" w:type="dxa"/>
            </w:tcMar>
          </w:tcPr>
          <w:p w:rsidR="00000000" w:rsidDel="00000000" w:rsidP="00000000" w:rsidRDefault="00000000" w:rsidRPr="00000000" w14:paraId="00000180">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81">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Commodity Channel Index</w:t>
            </w:r>
          </w:p>
        </w:tc>
        <w:tc>
          <w:tcPr>
            <w:tcMar>
              <w:top w:w="40.0" w:type="dxa"/>
              <w:left w:w="40.0" w:type="dxa"/>
              <w:bottom w:w="40.0" w:type="dxa"/>
              <w:right w:w="40.0" w:type="dxa"/>
            </w:tcMar>
          </w:tcPr>
          <w:p w:rsidR="00000000" w:rsidDel="00000000" w:rsidP="00000000" w:rsidRDefault="00000000" w:rsidRPr="00000000" w14:paraId="00000182">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CCI</w:t>
            </w:r>
          </w:p>
        </w:tc>
        <w:tc>
          <w:tcPr>
            <w:tcMar>
              <w:top w:w="40.0" w:type="dxa"/>
              <w:left w:w="40.0" w:type="dxa"/>
              <w:bottom w:w="40.0" w:type="dxa"/>
              <w:right w:w="40.0" w:type="dxa"/>
            </w:tcMar>
          </w:tcPr>
          <w:p w:rsidR="00000000" w:rsidDel="00000000" w:rsidP="00000000" w:rsidRDefault="00000000" w:rsidRPr="00000000" w14:paraId="00000183">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84">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Coppock Curve</w:t>
            </w:r>
          </w:p>
        </w:tc>
        <w:tc>
          <w:tcPr>
            <w:tcMar>
              <w:top w:w="40.0" w:type="dxa"/>
              <w:left w:w="40.0" w:type="dxa"/>
              <w:bottom w:w="40.0" w:type="dxa"/>
              <w:right w:w="40.0" w:type="dxa"/>
            </w:tcMar>
          </w:tcPr>
          <w:p w:rsidR="00000000" w:rsidDel="00000000" w:rsidP="00000000" w:rsidRDefault="00000000" w:rsidRPr="00000000" w14:paraId="00000185">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Coppock</w:t>
            </w:r>
          </w:p>
        </w:tc>
        <w:tc>
          <w:tcPr>
            <w:tcMar>
              <w:top w:w="40.0" w:type="dxa"/>
              <w:left w:w="40.0" w:type="dxa"/>
              <w:bottom w:w="40.0" w:type="dxa"/>
              <w:right w:w="40.0" w:type="dxa"/>
            </w:tcMar>
          </w:tcPr>
          <w:p w:rsidR="00000000" w:rsidDel="00000000" w:rsidP="00000000" w:rsidRDefault="00000000" w:rsidRPr="00000000" w14:paraId="00000186">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87">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Correlation Coefficient</w:t>
            </w:r>
          </w:p>
        </w:tc>
        <w:tc>
          <w:tcPr>
            <w:tcMar>
              <w:top w:w="40.0" w:type="dxa"/>
              <w:left w:w="40.0" w:type="dxa"/>
              <w:bottom w:w="40.0" w:type="dxa"/>
              <w:right w:w="40.0" w:type="dxa"/>
            </w:tcMar>
          </w:tcPr>
          <w:p w:rsidR="00000000" w:rsidDel="00000000" w:rsidP="00000000" w:rsidRDefault="00000000" w:rsidRPr="00000000" w14:paraId="00000188">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correl</w:t>
            </w:r>
          </w:p>
        </w:tc>
        <w:tc>
          <w:tcPr>
            <w:tcMar>
              <w:top w:w="40.0" w:type="dxa"/>
              <w:left w:w="40.0" w:type="dxa"/>
              <w:bottom w:w="40.0" w:type="dxa"/>
              <w:right w:w="40.0" w:type="dxa"/>
            </w:tcMar>
          </w:tcPr>
          <w:p w:rsidR="00000000" w:rsidDel="00000000" w:rsidP="00000000" w:rsidRDefault="00000000" w:rsidRPr="00000000" w14:paraId="00000189">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8A">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Darvas Box</w:t>
            </w:r>
          </w:p>
        </w:tc>
        <w:tc>
          <w:tcPr>
            <w:tcMar>
              <w:top w:w="40.0" w:type="dxa"/>
              <w:left w:w="40.0" w:type="dxa"/>
              <w:bottom w:w="40.0" w:type="dxa"/>
              <w:right w:w="40.0" w:type="dxa"/>
            </w:tcMar>
          </w:tcPr>
          <w:p w:rsidR="00000000" w:rsidDel="00000000" w:rsidP="00000000" w:rsidRDefault="00000000" w:rsidRPr="00000000" w14:paraId="0000018B">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Darvas</w:t>
            </w:r>
          </w:p>
        </w:tc>
        <w:tc>
          <w:tcPr>
            <w:tcMar>
              <w:top w:w="40.0" w:type="dxa"/>
              <w:left w:w="40.0" w:type="dxa"/>
              <w:bottom w:w="40.0" w:type="dxa"/>
              <w:right w:w="40.0" w:type="dxa"/>
            </w:tcMar>
          </w:tcPr>
          <w:p w:rsidR="00000000" w:rsidDel="00000000" w:rsidP="00000000" w:rsidRDefault="00000000" w:rsidRPr="00000000" w14:paraId="0000018C">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8D">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Depth of Market</w:t>
            </w:r>
          </w:p>
        </w:tc>
        <w:tc>
          <w:tcPr>
            <w:tcMar>
              <w:top w:w="40.0" w:type="dxa"/>
              <w:left w:w="40.0" w:type="dxa"/>
              <w:bottom w:w="40.0" w:type="dxa"/>
              <w:right w:w="40.0" w:type="dxa"/>
            </w:tcMar>
          </w:tcPr>
          <w:p w:rsidR="00000000" w:rsidDel="00000000" w:rsidP="00000000" w:rsidRDefault="00000000" w:rsidRPr="00000000" w14:paraId="0000018E">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DoM</w:t>
            </w:r>
          </w:p>
        </w:tc>
        <w:tc>
          <w:tcPr>
            <w:tcMar>
              <w:top w:w="40.0" w:type="dxa"/>
              <w:left w:w="40.0" w:type="dxa"/>
              <w:bottom w:w="40.0" w:type="dxa"/>
              <w:right w:w="40.0" w:type="dxa"/>
            </w:tcMar>
          </w:tcPr>
          <w:p w:rsidR="00000000" w:rsidDel="00000000" w:rsidP="00000000" w:rsidRDefault="00000000" w:rsidRPr="00000000" w14:paraId="0000018F">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90">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Detrended Price Oscillator</w:t>
            </w:r>
          </w:p>
        </w:tc>
        <w:tc>
          <w:tcPr>
            <w:tcMar>
              <w:top w:w="40.0" w:type="dxa"/>
              <w:left w:w="40.0" w:type="dxa"/>
              <w:bottom w:w="40.0" w:type="dxa"/>
              <w:right w:w="40.0" w:type="dxa"/>
            </w:tcMar>
          </w:tcPr>
          <w:p w:rsidR="00000000" w:rsidDel="00000000" w:rsidP="00000000" w:rsidRDefault="00000000" w:rsidRPr="00000000" w14:paraId="00000191">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Detrended</w:t>
            </w:r>
          </w:p>
        </w:tc>
        <w:tc>
          <w:tcPr>
            <w:tcMar>
              <w:top w:w="40.0" w:type="dxa"/>
              <w:left w:w="40.0" w:type="dxa"/>
              <w:bottom w:w="40.0" w:type="dxa"/>
              <w:right w:w="40.0" w:type="dxa"/>
            </w:tcMar>
          </w:tcPr>
          <w:p w:rsidR="00000000" w:rsidDel="00000000" w:rsidP="00000000" w:rsidRDefault="00000000" w:rsidRPr="00000000" w14:paraId="00000192">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93">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Disparity Index</w:t>
            </w:r>
          </w:p>
        </w:tc>
        <w:tc>
          <w:tcPr>
            <w:tcMar>
              <w:top w:w="40.0" w:type="dxa"/>
              <w:left w:w="40.0" w:type="dxa"/>
              <w:bottom w:w="40.0" w:type="dxa"/>
              <w:right w:w="40.0" w:type="dxa"/>
            </w:tcMar>
          </w:tcPr>
          <w:p w:rsidR="00000000" w:rsidDel="00000000" w:rsidP="00000000" w:rsidRDefault="00000000" w:rsidRPr="00000000" w14:paraId="00000194">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Disparity</w:t>
            </w:r>
          </w:p>
        </w:tc>
        <w:tc>
          <w:tcPr>
            <w:tcMar>
              <w:top w:w="40.0" w:type="dxa"/>
              <w:left w:w="40.0" w:type="dxa"/>
              <w:bottom w:w="40.0" w:type="dxa"/>
              <w:right w:w="40.0" w:type="dxa"/>
            </w:tcMar>
          </w:tcPr>
          <w:p w:rsidR="00000000" w:rsidDel="00000000" w:rsidP="00000000" w:rsidRDefault="00000000" w:rsidRPr="00000000" w14:paraId="00000195">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96">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Donchian Channel</w:t>
            </w:r>
          </w:p>
        </w:tc>
        <w:tc>
          <w:tcPr>
            <w:tcMar>
              <w:top w:w="40.0" w:type="dxa"/>
              <w:left w:w="40.0" w:type="dxa"/>
              <w:bottom w:w="40.0" w:type="dxa"/>
              <w:right w:w="40.0" w:type="dxa"/>
            </w:tcMar>
          </w:tcPr>
          <w:p w:rsidR="00000000" w:rsidDel="00000000" w:rsidP="00000000" w:rsidRDefault="00000000" w:rsidRPr="00000000" w14:paraId="00000197">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Donchian Channel</w:t>
            </w:r>
          </w:p>
        </w:tc>
        <w:tc>
          <w:tcPr>
            <w:tcMar>
              <w:top w:w="40.0" w:type="dxa"/>
              <w:left w:w="40.0" w:type="dxa"/>
              <w:bottom w:w="40.0" w:type="dxa"/>
              <w:right w:w="40.0" w:type="dxa"/>
            </w:tcMar>
          </w:tcPr>
          <w:p w:rsidR="00000000" w:rsidDel="00000000" w:rsidP="00000000" w:rsidRDefault="00000000" w:rsidRPr="00000000" w14:paraId="00000198">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99">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Donchian Width</w:t>
            </w:r>
          </w:p>
        </w:tc>
        <w:tc>
          <w:tcPr>
            <w:tcMar>
              <w:top w:w="40.0" w:type="dxa"/>
              <w:left w:w="40.0" w:type="dxa"/>
              <w:bottom w:w="40.0" w:type="dxa"/>
              <w:right w:w="40.0" w:type="dxa"/>
            </w:tcMar>
          </w:tcPr>
          <w:p w:rsidR="00000000" w:rsidDel="00000000" w:rsidP="00000000" w:rsidRDefault="00000000" w:rsidRPr="00000000" w14:paraId="0000019A">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Donchian Width</w:t>
            </w:r>
          </w:p>
        </w:tc>
        <w:tc>
          <w:tcPr>
            <w:tcMar>
              <w:top w:w="40.0" w:type="dxa"/>
              <w:left w:w="40.0" w:type="dxa"/>
              <w:bottom w:w="40.0" w:type="dxa"/>
              <w:right w:w="40.0" w:type="dxa"/>
            </w:tcMar>
          </w:tcPr>
          <w:p w:rsidR="00000000" w:rsidDel="00000000" w:rsidP="00000000" w:rsidRDefault="00000000" w:rsidRPr="00000000" w14:paraId="0000019B">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9C">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Ease of Movement</w:t>
            </w:r>
          </w:p>
        </w:tc>
        <w:tc>
          <w:tcPr>
            <w:tcMar>
              <w:top w:w="40.0" w:type="dxa"/>
              <w:left w:w="40.0" w:type="dxa"/>
              <w:bottom w:w="40.0" w:type="dxa"/>
              <w:right w:w="40.0" w:type="dxa"/>
            </w:tcMar>
          </w:tcPr>
          <w:p w:rsidR="00000000" w:rsidDel="00000000" w:rsidP="00000000" w:rsidRDefault="00000000" w:rsidRPr="00000000" w14:paraId="0000019D">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EOM</w:t>
            </w:r>
          </w:p>
        </w:tc>
        <w:tc>
          <w:tcPr>
            <w:tcMar>
              <w:top w:w="40.0" w:type="dxa"/>
              <w:left w:w="40.0" w:type="dxa"/>
              <w:bottom w:w="40.0" w:type="dxa"/>
              <w:right w:w="40.0" w:type="dxa"/>
            </w:tcMar>
          </w:tcPr>
          <w:p w:rsidR="00000000" w:rsidDel="00000000" w:rsidP="00000000" w:rsidRDefault="00000000" w:rsidRPr="00000000" w14:paraId="0000019E">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9F">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Ehler Fisher Transform</w:t>
            </w:r>
          </w:p>
        </w:tc>
        <w:tc>
          <w:tcPr>
            <w:tcMar>
              <w:top w:w="40.0" w:type="dxa"/>
              <w:left w:w="40.0" w:type="dxa"/>
              <w:bottom w:w="40.0" w:type="dxa"/>
              <w:right w:w="40.0" w:type="dxa"/>
            </w:tcMar>
          </w:tcPr>
          <w:p w:rsidR="00000000" w:rsidDel="00000000" w:rsidP="00000000" w:rsidRDefault="00000000" w:rsidRPr="00000000" w14:paraId="000001A0">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Ehler Fisher</w:t>
            </w:r>
          </w:p>
        </w:tc>
        <w:tc>
          <w:tcPr>
            <w:tcMar>
              <w:top w:w="40.0" w:type="dxa"/>
              <w:left w:w="40.0" w:type="dxa"/>
              <w:bottom w:w="40.0" w:type="dxa"/>
              <w:right w:w="40.0" w:type="dxa"/>
            </w:tcMar>
          </w:tcPr>
          <w:p w:rsidR="00000000" w:rsidDel="00000000" w:rsidP="00000000" w:rsidRDefault="00000000" w:rsidRPr="00000000" w14:paraId="000001A1">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A2">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Elder Force Index</w:t>
            </w:r>
          </w:p>
        </w:tc>
        <w:tc>
          <w:tcPr>
            <w:tcMar>
              <w:top w:w="40.0" w:type="dxa"/>
              <w:left w:w="40.0" w:type="dxa"/>
              <w:bottom w:w="40.0" w:type="dxa"/>
              <w:right w:w="40.0" w:type="dxa"/>
            </w:tcMar>
          </w:tcPr>
          <w:p w:rsidR="00000000" w:rsidDel="00000000" w:rsidP="00000000" w:rsidRDefault="00000000" w:rsidRPr="00000000" w14:paraId="000001A3">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Elder Force</w:t>
            </w:r>
          </w:p>
        </w:tc>
        <w:tc>
          <w:tcPr>
            <w:tcMar>
              <w:top w:w="40.0" w:type="dxa"/>
              <w:left w:w="40.0" w:type="dxa"/>
              <w:bottom w:w="40.0" w:type="dxa"/>
              <w:right w:w="40.0" w:type="dxa"/>
            </w:tcMar>
          </w:tcPr>
          <w:p w:rsidR="00000000" w:rsidDel="00000000" w:rsidP="00000000" w:rsidRDefault="00000000" w:rsidRPr="00000000" w14:paraId="000001A4">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A5">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Elder Impulse System</w:t>
            </w:r>
          </w:p>
        </w:tc>
        <w:tc>
          <w:tcPr>
            <w:tcMar>
              <w:top w:w="40.0" w:type="dxa"/>
              <w:left w:w="40.0" w:type="dxa"/>
              <w:bottom w:w="40.0" w:type="dxa"/>
              <w:right w:w="40.0" w:type="dxa"/>
            </w:tcMar>
          </w:tcPr>
          <w:p w:rsidR="00000000" w:rsidDel="00000000" w:rsidP="00000000" w:rsidRDefault="00000000" w:rsidRPr="00000000" w14:paraId="000001A6">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Elder Impulse</w:t>
            </w:r>
          </w:p>
        </w:tc>
        <w:tc>
          <w:tcPr>
            <w:tcMar>
              <w:top w:w="40.0" w:type="dxa"/>
              <w:left w:w="40.0" w:type="dxa"/>
              <w:bottom w:w="40.0" w:type="dxa"/>
              <w:right w:w="40.0" w:type="dxa"/>
            </w:tcMar>
          </w:tcPr>
          <w:p w:rsidR="00000000" w:rsidDel="00000000" w:rsidP="00000000" w:rsidRDefault="00000000" w:rsidRPr="00000000" w14:paraId="000001A7">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A8">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Elder Ray Index</w:t>
            </w:r>
          </w:p>
        </w:tc>
        <w:tc>
          <w:tcPr>
            <w:tcMar>
              <w:top w:w="40.0" w:type="dxa"/>
              <w:left w:w="40.0" w:type="dxa"/>
              <w:bottom w:w="40.0" w:type="dxa"/>
              <w:right w:w="40.0" w:type="dxa"/>
            </w:tcMar>
          </w:tcPr>
          <w:p w:rsidR="00000000" w:rsidDel="00000000" w:rsidP="00000000" w:rsidRDefault="00000000" w:rsidRPr="00000000" w14:paraId="000001A9">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Elder Ray</w:t>
            </w:r>
          </w:p>
        </w:tc>
        <w:tc>
          <w:tcPr>
            <w:tcMar>
              <w:top w:w="40.0" w:type="dxa"/>
              <w:left w:w="40.0" w:type="dxa"/>
              <w:bottom w:w="40.0" w:type="dxa"/>
              <w:right w:w="40.0" w:type="dxa"/>
            </w:tcMar>
          </w:tcPr>
          <w:p w:rsidR="00000000" w:rsidDel="00000000" w:rsidP="00000000" w:rsidRDefault="00000000" w:rsidRPr="00000000" w14:paraId="000001AA">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AB">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Fractal Chaos Bands</w:t>
            </w:r>
          </w:p>
        </w:tc>
        <w:tc>
          <w:tcPr>
            <w:tcMar>
              <w:top w:w="40.0" w:type="dxa"/>
              <w:left w:w="40.0" w:type="dxa"/>
              <w:bottom w:w="40.0" w:type="dxa"/>
              <w:right w:w="40.0" w:type="dxa"/>
            </w:tcMar>
          </w:tcPr>
          <w:p w:rsidR="00000000" w:rsidDel="00000000" w:rsidP="00000000" w:rsidRDefault="00000000" w:rsidRPr="00000000" w14:paraId="000001AC">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Fractal Chaos Bands</w:t>
            </w:r>
          </w:p>
        </w:tc>
        <w:tc>
          <w:tcPr>
            <w:tcMar>
              <w:top w:w="40.0" w:type="dxa"/>
              <w:left w:w="40.0" w:type="dxa"/>
              <w:bottom w:w="40.0" w:type="dxa"/>
              <w:right w:w="40.0" w:type="dxa"/>
            </w:tcMar>
          </w:tcPr>
          <w:p w:rsidR="00000000" w:rsidDel="00000000" w:rsidP="00000000" w:rsidRDefault="00000000" w:rsidRPr="00000000" w14:paraId="000001AD">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AE">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Fractal Chaos Oscillator</w:t>
            </w:r>
          </w:p>
        </w:tc>
        <w:tc>
          <w:tcPr>
            <w:tcMar>
              <w:top w:w="40.0" w:type="dxa"/>
              <w:left w:w="40.0" w:type="dxa"/>
              <w:bottom w:w="40.0" w:type="dxa"/>
              <w:right w:w="40.0" w:type="dxa"/>
            </w:tcMar>
          </w:tcPr>
          <w:p w:rsidR="00000000" w:rsidDel="00000000" w:rsidP="00000000" w:rsidRDefault="00000000" w:rsidRPr="00000000" w14:paraId="000001AF">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Fractal Chaos</w:t>
            </w:r>
          </w:p>
        </w:tc>
        <w:tc>
          <w:tcPr>
            <w:tcMar>
              <w:top w:w="40.0" w:type="dxa"/>
              <w:left w:w="40.0" w:type="dxa"/>
              <w:bottom w:w="40.0" w:type="dxa"/>
              <w:right w:w="40.0" w:type="dxa"/>
            </w:tcMar>
          </w:tcPr>
          <w:p w:rsidR="00000000" w:rsidDel="00000000" w:rsidP="00000000" w:rsidRDefault="00000000" w:rsidRPr="00000000" w14:paraId="000001B0">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B1">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t xml:space="preserve">GoNoGo - Trend</w:t>
            </w:r>
            <w:r w:rsidDel="00000000" w:rsidR="00000000" w:rsidRPr="00000000">
              <w:rPr>
                <w:rtl w:val="0"/>
              </w:rPr>
            </w:r>
          </w:p>
        </w:tc>
        <w:tc>
          <w:tcPr>
            <w:tcMar>
              <w:top w:w="40.0" w:type="dxa"/>
              <w:left w:w="40.0" w:type="dxa"/>
              <w:bottom w:w="40.0" w:type="dxa"/>
              <w:right w:w="40.0" w:type="dxa"/>
            </w:tcMar>
          </w:tcPr>
          <w:p w:rsidR="00000000" w:rsidDel="00000000" w:rsidP="00000000" w:rsidRDefault="00000000" w:rsidRPr="00000000" w14:paraId="000001B2">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t xml:space="preserve">GoNoGo Trend</w:t>
            </w:r>
            <w:r w:rsidDel="00000000" w:rsidR="00000000" w:rsidRPr="00000000">
              <w:rPr>
                <w:rtl w:val="0"/>
              </w:rPr>
            </w:r>
          </w:p>
        </w:tc>
        <w:tc>
          <w:tcPr>
            <w:tcMar>
              <w:top w:w="40.0" w:type="dxa"/>
              <w:left w:w="40.0" w:type="dxa"/>
              <w:bottom w:w="40.0" w:type="dxa"/>
              <w:right w:w="40.0" w:type="dxa"/>
            </w:tcMar>
          </w:tcPr>
          <w:p w:rsidR="00000000" w:rsidDel="00000000" w:rsidP="00000000" w:rsidRDefault="00000000" w:rsidRPr="00000000" w14:paraId="000001B3">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B4">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Gator Oscillator</w:t>
            </w:r>
          </w:p>
        </w:tc>
        <w:tc>
          <w:tcPr>
            <w:tcMar>
              <w:top w:w="40.0" w:type="dxa"/>
              <w:left w:w="40.0" w:type="dxa"/>
              <w:bottom w:w="40.0" w:type="dxa"/>
              <w:right w:w="40.0" w:type="dxa"/>
            </w:tcMar>
          </w:tcPr>
          <w:p w:rsidR="00000000" w:rsidDel="00000000" w:rsidP="00000000" w:rsidRDefault="00000000" w:rsidRPr="00000000" w14:paraId="000001B5">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Gator</w:t>
            </w:r>
          </w:p>
        </w:tc>
        <w:tc>
          <w:tcPr>
            <w:tcMar>
              <w:top w:w="40.0" w:type="dxa"/>
              <w:left w:w="40.0" w:type="dxa"/>
              <w:bottom w:w="40.0" w:type="dxa"/>
              <w:right w:w="40.0" w:type="dxa"/>
            </w:tcMar>
          </w:tcPr>
          <w:p w:rsidR="00000000" w:rsidDel="00000000" w:rsidP="00000000" w:rsidRDefault="00000000" w:rsidRPr="00000000" w14:paraId="000001B6">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B7">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Gopalakrishnan Range Index</w:t>
            </w:r>
          </w:p>
        </w:tc>
        <w:tc>
          <w:tcPr>
            <w:tcMar>
              <w:top w:w="40.0" w:type="dxa"/>
              <w:left w:w="40.0" w:type="dxa"/>
              <w:bottom w:w="40.0" w:type="dxa"/>
              <w:right w:w="40.0" w:type="dxa"/>
            </w:tcMar>
          </w:tcPr>
          <w:p w:rsidR="00000000" w:rsidDel="00000000" w:rsidP="00000000" w:rsidRDefault="00000000" w:rsidRPr="00000000" w14:paraId="000001B8">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GAPO</w:t>
            </w:r>
          </w:p>
        </w:tc>
        <w:tc>
          <w:tcPr>
            <w:tcMar>
              <w:top w:w="40.0" w:type="dxa"/>
              <w:left w:w="40.0" w:type="dxa"/>
              <w:bottom w:w="40.0" w:type="dxa"/>
              <w:right w:w="40.0" w:type="dxa"/>
            </w:tcMar>
          </w:tcPr>
          <w:p w:rsidR="00000000" w:rsidDel="00000000" w:rsidP="00000000" w:rsidRDefault="00000000" w:rsidRPr="00000000" w14:paraId="000001B9">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BA">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Guppy Multiple Moving Average</w:t>
            </w:r>
          </w:p>
        </w:tc>
        <w:tc>
          <w:tcPr>
            <w:tcMar>
              <w:top w:w="40.0" w:type="dxa"/>
              <w:left w:w="40.0" w:type="dxa"/>
              <w:bottom w:w="40.0" w:type="dxa"/>
              <w:right w:w="40.0" w:type="dxa"/>
            </w:tcMar>
          </w:tcPr>
          <w:p w:rsidR="00000000" w:rsidDel="00000000" w:rsidP="00000000" w:rsidRDefault="00000000" w:rsidRPr="00000000" w14:paraId="000001BB">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GMMA</w:t>
            </w:r>
          </w:p>
        </w:tc>
        <w:tc>
          <w:tcPr>
            <w:tcMar>
              <w:top w:w="40.0" w:type="dxa"/>
              <w:left w:w="40.0" w:type="dxa"/>
              <w:bottom w:w="40.0" w:type="dxa"/>
              <w:right w:w="40.0" w:type="dxa"/>
            </w:tcMar>
          </w:tcPr>
          <w:p w:rsidR="00000000" w:rsidDel="00000000" w:rsidP="00000000" w:rsidRDefault="00000000" w:rsidRPr="00000000" w14:paraId="000001BC">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BD">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High Low Bands</w:t>
            </w:r>
          </w:p>
        </w:tc>
        <w:tc>
          <w:tcPr>
            <w:tcMar>
              <w:top w:w="40.0" w:type="dxa"/>
              <w:left w:w="40.0" w:type="dxa"/>
              <w:bottom w:w="40.0" w:type="dxa"/>
              <w:right w:w="40.0" w:type="dxa"/>
            </w:tcMar>
          </w:tcPr>
          <w:p w:rsidR="00000000" w:rsidDel="00000000" w:rsidP="00000000" w:rsidRDefault="00000000" w:rsidRPr="00000000" w14:paraId="000001BE">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High Low</w:t>
            </w:r>
          </w:p>
        </w:tc>
        <w:tc>
          <w:tcPr>
            <w:tcMar>
              <w:top w:w="40.0" w:type="dxa"/>
              <w:left w:w="40.0" w:type="dxa"/>
              <w:bottom w:w="40.0" w:type="dxa"/>
              <w:right w:w="40.0" w:type="dxa"/>
            </w:tcMar>
          </w:tcPr>
          <w:p w:rsidR="00000000" w:rsidDel="00000000" w:rsidP="00000000" w:rsidRDefault="00000000" w:rsidRPr="00000000" w14:paraId="000001BF">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C0">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High Minus Low</w:t>
            </w:r>
          </w:p>
        </w:tc>
        <w:tc>
          <w:tcPr>
            <w:tcMar>
              <w:top w:w="40.0" w:type="dxa"/>
              <w:left w:w="40.0" w:type="dxa"/>
              <w:bottom w:w="40.0" w:type="dxa"/>
              <w:right w:w="40.0" w:type="dxa"/>
            </w:tcMar>
          </w:tcPr>
          <w:p w:rsidR="00000000" w:rsidDel="00000000" w:rsidP="00000000" w:rsidRDefault="00000000" w:rsidRPr="00000000" w14:paraId="000001C1">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High-Low</w:t>
            </w:r>
          </w:p>
        </w:tc>
        <w:tc>
          <w:tcPr>
            <w:tcMar>
              <w:top w:w="40.0" w:type="dxa"/>
              <w:left w:w="40.0" w:type="dxa"/>
              <w:bottom w:w="40.0" w:type="dxa"/>
              <w:right w:w="40.0" w:type="dxa"/>
            </w:tcMar>
          </w:tcPr>
          <w:p w:rsidR="00000000" w:rsidDel="00000000" w:rsidP="00000000" w:rsidRDefault="00000000" w:rsidRPr="00000000" w14:paraId="000001C2">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C3">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Highest High Value</w:t>
            </w:r>
          </w:p>
        </w:tc>
        <w:tc>
          <w:tcPr>
            <w:tcMar>
              <w:top w:w="40.0" w:type="dxa"/>
              <w:left w:w="40.0" w:type="dxa"/>
              <w:bottom w:w="40.0" w:type="dxa"/>
              <w:right w:w="40.0" w:type="dxa"/>
            </w:tcMar>
          </w:tcPr>
          <w:p w:rsidR="00000000" w:rsidDel="00000000" w:rsidP="00000000" w:rsidRDefault="00000000" w:rsidRPr="00000000" w14:paraId="000001C4">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HHV</w:t>
            </w:r>
          </w:p>
        </w:tc>
        <w:tc>
          <w:tcPr>
            <w:tcMar>
              <w:top w:w="40.0" w:type="dxa"/>
              <w:left w:w="40.0" w:type="dxa"/>
              <w:bottom w:w="40.0" w:type="dxa"/>
              <w:right w:w="40.0" w:type="dxa"/>
            </w:tcMar>
          </w:tcPr>
          <w:p w:rsidR="00000000" w:rsidDel="00000000" w:rsidP="00000000" w:rsidRDefault="00000000" w:rsidRPr="00000000" w14:paraId="000001C5">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C6">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Historical Volatility</w:t>
            </w:r>
          </w:p>
        </w:tc>
        <w:tc>
          <w:tcPr>
            <w:tcMar>
              <w:top w:w="40.0" w:type="dxa"/>
              <w:left w:w="40.0" w:type="dxa"/>
              <w:bottom w:w="40.0" w:type="dxa"/>
              <w:right w:w="40.0" w:type="dxa"/>
            </w:tcMar>
          </w:tcPr>
          <w:p w:rsidR="00000000" w:rsidDel="00000000" w:rsidP="00000000" w:rsidRDefault="00000000" w:rsidRPr="00000000" w14:paraId="000001C7">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Hist Vol</w:t>
            </w:r>
          </w:p>
        </w:tc>
        <w:tc>
          <w:tcPr>
            <w:tcMar>
              <w:top w:w="40.0" w:type="dxa"/>
              <w:left w:w="40.0" w:type="dxa"/>
              <w:bottom w:w="40.0" w:type="dxa"/>
              <w:right w:w="40.0" w:type="dxa"/>
            </w:tcMar>
          </w:tcPr>
          <w:p w:rsidR="00000000" w:rsidDel="00000000" w:rsidP="00000000" w:rsidRDefault="00000000" w:rsidRPr="00000000" w14:paraId="000001C8">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C9">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Ichimoku Clouds</w:t>
            </w:r>
          </w:p>
        </w:tc>
        <w:tc>
          <w:tcPr>
            <w:tcMar>
              <w:top w:w="40.0" w:type="dxa"/>
              <w:left w:w="40.0" w:type="dxa"/>
              <w:bottom w:w="40.0" w:type="dxa"/>
              <w:right w:w="40.0" w:type="dxa"/>
            </w:tcMar>
          </w:tcPr>
          <w:p w:rsidR="00000000" w:rsidDel="00000000" w:rsidP="00000000" w:rsidRDefault="00000000" w:rsidRPr="00000000" w14:paraId="000001CA">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Ichimoku Clouds</w:t>
            </w:r>
          </w:p>
        </w:tc>
        <w:tc>
          <w:tcPr>
            <w:tcMar>
              <w:top w:w="40.0" w:type="dxa"/>
              <w:left w:w="40.0" w:type="dxa"/>
              <w:bottom w:w="40.0" w:type="dxa"/>
              <w:right w:w="40.0" w:type="dxa"/>
            </w:tcMar>
          </w:tcPr>
          <w:p w:rsidR="00000000" w:rsidDel="00000000" w:rsidP="00000000" w:rsidRDefault="00000000" w:rsidRPr="00000000" w14:paraId="000001CB">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CC">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Intraday Momentum Index</w:t>
            </w:r>
          </w:p>
        </w:tc>
        <w:tc>
          <w:tcPr>
            <w:tcMar>
              <w:top w:w="40.0" w:type="dxa"/>
              <w:left w:w="40.0" w:type="dxa"/>
              <w:bottom w:w="40.0" w:type="dxa"/>
              <w:right w:w="40.0" w:type="dxa"/>
            </w:tcMar>
          </w:tcPr>
          <w:p w:rsidR="00000000" w:rsidDel="00000000" w:rsidP="00000000" w:rsidRDefault="00000000" w:rsidRPr="00000000" w14:paraId="000001CD">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Intraday Mtm</w:t>
            </w:r>
          </w:p>
        </w:tc>
        <w:tc>
          <w:tcPr>
            <w:tcMar>
              <w:top w:w="40.0" w:type="dxa"/>
              <w:left w:w="40.0" w:type="dxa"/>
              <w:bottom w:w="40.0" w:type="dxa"/>
              <w:right w:w="40.0" w:type="dxa"/>
            </w:tcMar>
          </w:tcPr>
          <w:p w:rsidR="00000000" w:rsidDel="00000000" w:rsidP="00000000" w:rsidRDefault="00000000" w:rsidRPr="00000000" w14:paraId="000001CE">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CF">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Keltner Channel</w:t>
            </w:r>
          </w:p>
        </w:tc>
        <w:tc>
          <w:tcPr>
            <w:tcMar>
              <w:top w:w="40.0" w:type="dxa"/>
              <w:left w:w="40.0" w:type="dxa"/>
              <w:bottom w:w="40.0" w:type="dxa"/>
              <w:right w:w="40.0" w:type="dxa"/>
            </w:tcMar>
          </w:tcPr>
          <w:p w:rsidR="00000000" w:rsidDel="00000000" w:rsidP="00000000" w:rsidRDefault="00000000" w:rsidRPr="00000000" w14:paraId="000001D0">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Keltner</w:t>
            </w:r>
          </w:p>
        </w:tc>
        <w:tc>
          <w:tcPr>
            <w:tcMar>
              <w:top w:w="40.0" w:type="dxa"/>
              <w:left w:w="40.0" w:type="dxa"/>
              <w:bottom w:w="40.0" w:type="dxa"/>
              <w:right w:w="40.0" w:type="dxa"/>
            </w:tcMar>
          </w:tcPr>
          <w:p w:rsidR="00000000" w:rsidDel="00000000" w:rsidP="00000000" w:rsidRDefault="00000000" w:rsidRPr="00000000" w14:paraId="000001D1">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D2">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Klinger Volume Oscillator</w:t>
            </w:r>
          </w:p>
        </w:tc>
        <w:tc>
          <w:tcPr>
            <w:tcMar>
              <w:top w:w="40.0" w:type="dxa"/>
              <w:left w:w="40.0" w:type="dxa"/>
              <w:bottom w:w="40.0" w:type="dxa"/>
              <w:right w:w="40.0" w:type="dxa"/>
            </w:tcMar>
          </w:tcPr>
          <w:p w:rsidR="00000000" w:rsidDel="00000000" w:rsidP="00000000" w:rsidRDefault="00000000" w:rsidRPr="00000000" w14:paraId="000001D3">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Klinger</w:t>
            </w:r>
          </w:p>
        </w:tc>
        <w:tc>
          <w:tcPr>
            <w:tcMar>
              <w:top w:w="40.0" w:type="dxa"/>
              <w:left w:w="40.0" w:type="dxa"/>
              <w:bottom w:w="40.0" w:type="dxa"/>
              <w:right w:w="40.0" w:type="dxa"/>
            </w:tcMar>
          </w:tcPr>
          <w:p w:rsidR="00000000" w:rsidDel="00000000" w:rsidP="00000000" w:rsidRDefault="00000000" w:rsidRPr="00000000" w14:paraId="000001D4">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D5">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Linear Reg Forecast</w:t>
            </w:r>
          </w:p>
        </w:tc>
        <w:tc>
          <w:tcPr>
            <w:tcMar>
              <w:top w:w="40.0" w:type="dxa"/>
              <w:left w:w="40.0" w:type="dxa"/>
              <w:bottom w:w="40.0" w:type="dxa"/>
              <w:right w:w="40.0" w:type="dxa"/>
            </w:tcMar>
          </w:tcPr>
          <w:p w:rsidR="00000000" w:rsidDel="00000000" w:rsidP="00000000" w:rsidRDefault="00000000" w:rsidRPr="00000000" w14:paraId="000001D6">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Lin Fcst</w:t>
            </w:r>
          </w:p>
        </w:tc>
        <w:tc>
          <w:tcPr>
            <w:tcMar>
              <w:top w:w="40.0" w:type="dxa"/>
              <w:left w:w="40.0" w:type="dxa"/>
              <w:bottom w:w="40.0" w:type="dxa"/>
              <w:right w:w="40.0" w:type="dxa"/>
            </w:tcMar>
          </w:tcPr>
          <w:p w:rsidR="00000000" w:rsidDel="00000000" w:rsidP="00000000" w:rsidRDefault="00000000" w:rsidRPr="00000000" w14:paraId="000001D7">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D8">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Linear Reg Intercept</w:t>
            </w:r>
          </w:p>
        </w:tc>
        <w:tc>
          <w:tcPr>
            <w:tcMar>
              <w:top w:w="40.0" w:type="dxa"/>
              <w:left w:w="40.0" w:type="dxa"/>
              <w:bottom w:w="40.0" w:type="dxa"/>
              <w:right w:w="40.0" w:type="dxa"/>
            </w:tcMar>
          </w:tcPr>
          <w:p w:rsidR="00000000" w:rsidDel="00000000" w:rsidP="00000000" w:rsidRDefault="00000000" w:rsidRPr="00000000" w14:paraId="000001D9">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Lin Incpt</w:t>
            </w:r>
          </w:p>
        </w:tc>
        <w:tc>
          <w:tcPr>
            <w:tcMar>
              <w:top w:w="40.0" w:type="dxa"/>
              <w:left w:w="40.0" w:type="dxa"/>
              <w:bottom w:w="40.0" w:type="dxa"/>
              <w:right w:w="40.0" w:type="dxa"/>
            </w:tcMar>
          </w:tcPr>
          <w:p w:rsidR="00000000" w:rsidDel="00000000" w:rsidP="00000000" w:rsidRDefault="00000000" w:rsidRPr="00000000" w14:paraId="000001DA">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DB">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Linear Reg R2</w:t>
            </w:r>
          </w:p>
        </w:tc>
        <w:tc>
          <w:tcPr>
            <w:tcMar>
              <w:top w:w="40.0" w:type="dxa"/>
              <w:left w:w="40.0" w:type="dxa"/>
              <w:bottom w:w="40.0" w:type="dxa"/>
              <w:right w:w="40.0" w:type="dxa"/>
            </w:tcMar>
          </w:tcPr>
          <w:p w:rsidR="00000000" w:rsidDel="00000000" w:rsidP="00000000" w:rsidRDefault="00000000" w:rsidRPr="00000000" w14:paraId="000001DC">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Lin R2</w:t>
            </w:r>
          </w:p>
        </w:tc>
        <w:tc>
          <w:tcPr>
            <w:tcMar>
              <w:top w:w="40.0" w:type="dxa"/>
              <w:left w:w="40.0" w:type="dxa"/>
              <w:bottom w:w="40.0" w:type="dxa"/>
              <w:right w:w="40.0" w:type="dxa"/>
            </w:tcMar>
          </w:tcPr>
          <w:p w:rsidR="00000000" w:rsidDel="00000000" w:rsidP="00000000" w:rsidRDefault="00000000" w:rsidRPr="00000000" w14:paraId="000001DD">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DE">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Linear Reg Slope</w:t>
            </w:r>
          </w:p>
        </w:tc>
        <w:tc>
          <w:tcPr>
            <w:tcMar>
              <w:top w:w="40.0" w:type="dxa"/>
              <w:left w:w="40.0" w:type="dxa"/>
              <w:bottom w:w="40.0" w:type="dxa"/>
              <w:right w:w="40.0" w:type="dxa"/>
            </w:tcMar>
          </w:tcPr>
          <w:p w:rsidR="00000000" w:rsidDel="00000000" w:rsidP="00000000" w:rsidRDefault="00000000" w:rsidRPr="00000000" w14:paraId="000001DF">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LR Slope</w:t>
            </w:r>
          </w:p>
        </w:tc>
        <w:tc>
          <w:tcPr>
            <w:tcMar>
              <w:top w:w="40.0" w:type="dxa"/>
              <w:left w:w="40.0" w:type="dxa"/>
              <w:bottom w:w="40.0" w:type="dxa"/>
              <w:right w:w="40.0" w:type="dxa"/>
            </w:tcMar>
          </w:tcPr>
          <w:p w:rsidR="00000000" w:rsidDel="00000000" w:rsidP="00000000" w:rsidRDefault="00000000" w:rsidRPr="00000000" w14:paraId="000001E0">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E1">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Lowest Low Value</w:t>
            </w:r>
          </w:p>
        </w:tc>
        <w:tc>
          <w:tcPr>
            <w:tcMar>
              <w:top w:w="40.0" w:type="dxa"/>
              <w:left w:w="40.0" w:type="dxa"/>
              <w:bottom w:w="40.0" w:type="dxa"/>
              <w:right w:w="40.0" w:type="dxa"/>
            </w:tcMar>
          </w:tcPr>
          <w:p w:rsidR="00000000" w:rsidDel="00000000" w:rsidP="00000000" w:rsidRDefault="00000000" w:rsidRPr="00000000" w14:paraId="000001E2">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LLV</w:t>
            </w:r>
          </w:p>
        </w:tc>
        <w:tc>
          <w:tcPr>
            <w:tcMar>
              <w:top w:w="40.0" w:type="dxa"/>
              <w:left w:w="40.0" w:type="dxa"/>
              <w:bottom w:w="40.0" w:type="dxa"/>
              <w:right w:w="40.0" w:type="dxa"/>
            </w:tcMar>
          </w:tcPr>
          <w:p w:rsidR="00000000" w:rsidDel="00000000" w:rsidP="00000000" w:rsidRDefault="00000000" w:rsidRPr="00000000" w14:paraId="000001E3">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E4">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MACD</w:t>
            </w:r>
          </w:p>
        </w:tc>
        <w:tc>
          <w:tcPr>
            <w:tcMar>
              <w:top w:w="40.0" w:type="dxa"/>
              <w:left w:w="40.0" w:type="dxa"/>
              <w:bottom w:w="40.0" w:type="dxa"/>
              <w:right w:w="40.0" w:type="dxa"/>
            </w:tcMar>
          </w:tcPr>
          <w:p w:rsidR="00000000" w:rsidDel="00000000" w:rsidP="00000000" w:rsidRDefault="00000000" w:rsidRPr="00000000" w14:paraId="000001E5">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macd</w:t>
            </w:r>
          </w:p>
        </w:tc>
        <w:tc>
          <w:tcPr>
            <w:tcMar>
              <w:top w:w="40.0" w:type="dxa"/>
              <w:left w:w="40.0" w:type="dxa"/>
              <w:bottom w:w="40.0" w:type="dxa"/>
              <w:right w:w="40.0" w:type="dxa"/>
            </w:tcMar>
          </w:tcPr>
          <w:p w:rsidR="00000000" w:rsidDel="00000000" w:rsidP="00000000" w:rsidRDefault="00000000" w:rsidRPr="00000000" w14:paraId="000001E6">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E7">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Market Facilitation Index</w:t>
            </w:r>
          </w:p>
        </w:tc>
        <w:tc>
          <w:tcPr>
            <w:tcMar>
              <w:top w:w="40.0" w:type="dxa"/>
              <w:left w:w="40.0" w:type="dxa"/>
              <w:bottom w:w="40.0" w:type="dxa"/>
              <w:right w:w="40.0" w:type="dxa"/>
            </w:tcMar>
          </w:tcPr>
          <w:p w:rsidR="00000000" w:rsidDel="00000000" w:rsidP="00000000" w:rsidRDefault="00000000" w:rsidRPr="00000000" w14:paraId="000001E8">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W MFI</w:t>
            </w:r>
          </w:p>
        </w:tc>
        <w:tc>
          <w:tcPr>
            <w:tcMar>
              <w:top w:w="40.0" w:type="dxa"/>
              <w:left w:w="40.0" w:type="dxa"/>
              <w:bottom w:w="40.0" w:type="dxa"/>
              <w:right w:w="40.0" w:type="dxa"/>
            </w:tcMar>
          </w:tcPr>
          <w:p w:rsidR="00000000" w:rsidDel="00000000" w:rsidP="00000000" w:rsidRDefault="00000000" w:rsidRPr="00000000" w14:paraId="000001E9">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EA">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Mass Index</w:t>
            </w:r>
          </w:p>
        </w:tc>
        <w:tc>
          <w:tcPr>
            <w:tcMar>
              <w:top w:w="40.0" w:type="dxa"/>
              <w:left w:w="40.0" w:type="dxa"/>
              <w:bottom w:w="40.0" w:type="dxa"/>
              <w:right w:w="40.0" w:type="dxa"/>
            </w:tcMar>
          </w:tcPr>
          <w:p w:rsidR="00000000" w:rsidDel="00000000" w:rsidP="00000000" w:rsidRDefault="00000000" w:rsidRPr="00000000" w14:paraId="000001EB">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Mass Idx</w:t>
            </w:r>
          </w:p>
        </w:tc>
        <w:tc>
          <w:tcPr>
            <w:tcMar>
              <w:top w:w="40.0" w:type="dxa"/>
              <w:left w:w="40.0" w:type="dxa"/>
              <w:bottom w:w="40.0" w:type="dxa"/>
              <w:right w:w="40.0" w:type="dxa"/>
            </w:tcMar>
          </w:tcPr>
          <w:p w:rsidR="00000000" w:rsidDel="00000000" w:rsidP="00000000" w:rsidRDefault="00000000" w:rsidRPr="00000000" w14:paraId="000001EC">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ED">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Median Price</w:t>
            </w:r>
          </w:p>
        </w:tc>
        <w:tc>
          <w:tcPr>
            <w:tcMar>
              <w:top w:w="40.0" w:type="dxa"/>
              <w:left w:w="40.0" w:type="dxa"/>
              <w:bottom w:w="40.0" w:type="dxa"/>
              <w:right w:w="40.0" w:type="dxa"/>
            </w:tcMar>
          </w:tcPr>
          <w:p w:rsidR="00000000" w:rsidDel="00000000" w:rsidP="00000000" w:rsidRDefault="00000000" w:rsidRPr="00000000" w14:paraId="000001EE">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Med Price</w:t>
            </w:r>
          </w:p>
        </w:tc>
        <w:tc>
          <w:tcPr>
            <w:tcMar>
              <w:top w:w="40.0" w:type="dxa"/>
              <w:left w:w="40.0" w:type="dxa"/>
              <w:bottom w:w="40.0" w:type="dxa"/>
              <w:right w:w="40.0" w:type="dxa"/>
            </w:tcMar>
          </w:tcPr>
          <w:p w:rsidR="00000000" w:rsidDel="00000000" w:rsidP="00000000" w:rsidRDefault="00000000" w:rsidRPr="00000000" w14:paraId="000001EF">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F0">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Momentum Indicator</w:t>
            </w:r>
          </w:p>
        </w:tc>
        <w:tc>
          <w:tcPr>
            <w:tcMar>
              <w:top w:w="40.0" w:type="dxa"/>
              <w:left w:w="40.0" w:type="dxa"/>
              <w:bottom w:w="40.0" w:type="dxa"/>
              <w:right w:w="40.0" w:type="dxa"/>
            </w:tcMar>
          </w:tcPr>
          <w:p w:rsidR="00000000" w:rsidDel="00000000" w:rsidP="00000000" w:rsidRDefault="00000000" w:rsidRPr="00000000" w14:paraId="000001F1">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Momentum</w:t>
            </w:r>
          </w:p>
        </w:tc>
        <w:tc>
          <w:tcPr>
            <w:tcMar>
              <w:top w:w="40.0" w:type="dxa"/>
              <w:left w:w="40.0" w:type="dxa"/>
              <w:bottom w:w="40.0" w:type="dxa"/>
              <w:right w:w="40.0" w:type="dxa"/>
            </w:tcMar>
          </w:tcPr>
          <w:p w:rsidR="00000000" w:rsidDel="00000000" w:rsidP="00000000" w:rsidRDefault="00000000" w:rsidRPr="00000000" w14:paraId="000001F2">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F3">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Money Flow Index</w:t>
            </w:r>
          </w:p>
        </w:tc>
        <w:tc>
          <w:tcPr>
            <w:tcMar>
              <w:top w:w="40.0" w:type="dxa"/>
              <w:left w:w="40.0" w:type="dxa"/>
              <w:bottom w:w="40.0" w:type="dxa"/>
              <w:right w:w="40.0" w:type="dxa"/>
            </w:tcMar>
          </w:tcPr>
          <w:p w:rsidR="00000000" w:rsidDel="00000000" w:rsidP="00000000" w:rsidRDefault="00000000" w:rsidRPr="00000000" w14:paraId="000001F4">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M Flow</w:t>
            </w:r>
          </w:p>
        </w:tc>
        <w:tc>
          <w:tcPr>
            <w:tcMar>
              <w:top w:w="40.0" w:type="dxa"/>
              <w:left w:w="40.0" w:type="dxa"/>
              <w:bottom w:w="40.0" w:type="dxa"/>
              <w:right w:w="40.0" w:type="dxa"/>
            </w:tcMar>
          </w:tcPr>
          <w:p w:rsidR="00000000" w:rsidDel="00000000" w:rsidP="00000000" w:rsidRDefault="00000000" w:rsidRPr="00000000" w14:paraId="000001F5">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F6">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Moving Average</w:t>
            </w:r>
          </w:p>
        </w:tc>
        <w:tc>
          <w:tcPr>
            <w:tcMar>
              <w:top w:w="40.0" w:type="dxa"/>
              <w:left w:w="40.0" w:type="dxa"/>
              <w:bottom w:w="40.0" w:type="dxa"/>
              <w:right w:w="40.0" w:type="dxa"/>
            </w:tcMar>
          </w:tcPr>
          <w:p w:rsidR="00000000" w:rsidDel="00000000" w:rsidP="00000000" w:rsidRDefault="00000000" w:rsidRPr="00000000" w14:paraId="000001F7">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ma</w:t>
            </w:r>
          </w:p>
        </w:tc>
        <w:tc>
          <w:tcPr>
            <w:tcMar>
              <w:top w:w="40.0" w:type="dxa"/>
              <w:left w:w="40.0" w:type="dxa"/>
              <w:bottom w:w="40.0" w:type="dxa"/>
              <w:right w:w="40.0" w:type="dxa"/>
            </w:tcMar>
          </w:tcPr>
          <w:p w:rsidR="00000000" w:rsidDel="00000000" w:rsidP="00000000" w:rsidRDefault="00000000" w:rsidRPr="00000000" w14:paraId="000001F8">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F9">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Moving Average Crossover</w:t>
            </w:r>
          </w:p>
        </w:tc>
        <w:tc>
          <w:tcPr>
            <w:tcMar>
              <w:top w:w="40.0" w:type="dxa"/>
              <w:left w:w="40.0" w:type="dxa"/>
              <w:bottom w:w="40.0" w:type="dxa"/>
              <w:right w:w="40.0" w:type="dxa"/>
            </w:tcMar>
          </w:tcPr>
          <w:p w:rsidR="00000000" w:rsidDel="00000000" w:rsidP="00000000" w:rsidRDefault="00000000" w:rsidRPr="00000000" w14:paraId="000001FA">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MAC</w:t>
            </w:r>
          </w:p>
        </w:tc>
        <w:tc>
          <w:tcPr>
            <w:tcMar>
              <w:top w:w="40.0" w:type="dxa"/>
              <w:left w:w="40.0" w:type="dxa"/>
              <w:bottom w:w="40.0" w:type="dxa"/>
              <w:right w:w="40.0" w:type="dxa"/>
            </w:tcMar>
          </w:tcPr>
          <w:p w:rsidR="00000000" w:rsidDel="00000000" w:rsidP="00000000" w:rsidRDefault="00000000" w:rsidRPr="00000000" w14:paraId="000001FB">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FC">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Moving Average Deviation</w:t>
            </w:r>
          </w:p>
        </w:tc>
        <w:tc>
          <w:tcPr>
            <w:tcMar>
              <w:top w:w="40.0" w:type="dxa"/>
              <w:left w:w="40.0" w:type="dxa"/>
              <w:bottom w:w="40.0" w:type="dxa"/>
              <w:right w:w="40.0" w:type="dxa"/>
            </w:tcMar>
          </w:tcPr>
          <w:p w:rsidR="00000000" w:rsidDel="00000000" w:rsidP="00000000" w:rsidRDefault="00000000" w:rsidRPr="00000000" w14:paraId="000001FD">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MA Dev</w:t>
            </w:r>
          </w:p>
        </w:tc>
        <w:tc>
          <w:tcPr>
            <w:tcMar>
              <w:top w:w="40.0" w:type="dxa"/>
              <w:left w:w="40.0" w:type="dxa"/>
              <w:bottom w:w="40.0" w:type="dxa"/>
              <w:right w:w="40.0" w:type="dxa"/>
            </w:tcMar>
          </w:tcPr>
          <w:p w:rsidR="00000000" w:rsidDel="00000000" w:rsidP="00000000" w:rsidRDefault="00000000" w:rsidRPr="00000000" w14:paraId="000001FE">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1FF">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Moving Average Envelope</w:t>
            </w:r>
          </w:p>
        </w:tc>
        <w:tc>
          <w:tcPr>
            <w:tcMar>
              <w:top w:w="40.0" w:type="dxa"/>
              <w:left w:w="40.0" w:type="dxa"/>
              <w:bottom w:w="40.0" w:type="dxa"/>
              <w:right w:w="40.0" w:type="dxa"/>
            </w:tcMar>
          </w:tcPr>
          <w:p w:rsidR="00000000" w:rsidDel="00000000" w:rsidP="00000000" w:rsidRDefault="00000000" w:rsidRPr="00000000" w14:paraId="00000200">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MA Env</w:t>
            </w:r>
          </w:p>
        </w:tc>
        <w:tc>
          <w:tcPr>
            <w:tcMar>
              <w:top w:w="40.0" w:type="dxa"/>
              <w:left w:w="40.0" w:type="dxa"/>
              <w:bottom w:w="40.0" w:type="dxa"/>
              <w:right w:w="40.0" w:type="dxa"/>
            </w:tcMar>
          </w:tcPr>
          <w:p w:rsidR="00000000" w:rsidDel="00000000" w:rsidP="00000000" w:rsidRDefault="00000000" w:rsidRPr="00000000" w14:paraId="00000201">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02">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Negative Volume Index</w:t>
            </w:r>
          </w:p>
        </w:tc>
        <w:tc>
          <w:tcPr>
            <w:tcMar>
              <w:top w:w="40.0" w:type="dxa"/>
              <w:left w:w="40.0" w:type="dxa"/>
              <w:bottom w:w="40.0" w:type="dxa"/>
              <w:right w:w="40.0" w:type="dxa"/>
            </w:tcMar>
          </w:tcPr>
          <w:p w:rsidR="00000000" w:rsidDel="00000000" w:rsidP="00000000" w:rsidRDefault="00000000" w:rsidRPr="00000000" w14:paraId="00000203">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Neg Vol</w:t>
            </w:r>
          </w:p>
        </w:tc>
        <w:tc>
          <w:tcPr>
            <w:tcMar>
              <w:top w:w="40.0" w:type="dxa"/>
              <w:left w:w="40.0" w:type="dxa"/>
              <w:bottom w:w="40.0" w:type="dxa"/>
              <w:right w:w="40.0" w:type="dxa"/>
            </w:tcMar>
          </w:tcPr>
          <w:p w:rsidR="00000000" w:rsidDel="00000000" w:rsidP="00000000" w:rsidRDefault="00000000" w:rsidRPr="00000000" w14:paraId="00000204">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05">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On Balance Volume</w:t>
            </w:r>
          </w:p>
        </w:tc>
        <w:tc>
          <w:tcPr>
            <w:tcMar>
              <w:top w:w="40.0" w:type="dxa"/>
              <w:left w:w="40.0" w:type="dxa"/>
              <w:bottom w:w="40.0" w:type="dxa"/>
              <w:right w:w="40.0" w:type="dxa"/>
            </w:tcMar>
          </w:tcPr>
          <w:p w:rsidR="00000000" w:rsidDel="00000000" w:rsidP="00000000" w:rsidRDefault="00000000" w:rsidRPr="00000000" w14:paraId="00000206">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On Bal Vol</w:t>
            </w:r>
          </w:p>
        </w:tc>
        <w:tc>
          <w:tcPr>
            <w:tcMar>
              <w:top w:w="40.0" w:type="dxa"/>
              <w:left w:w="40.0" w:type="dxa"/>
              <w:bottom w:w="40.0" w:type="dxa"/>
              <w:right w:w="40.0" w:type="dxa"/>
            </w:tcMar>
          </w:tcPr>
          <w:p w:rsidR="00000000" w:rsidDel="00000000" w:rsidP="00000000" w:rsidRDefault="00000000" w:rsidRPr="00000000" w14:paraId="00000207">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08">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Parabolic SAR</w:t>
            </w:r>
          </w:p>
        </w:tc>
        <w:tc>
          <w:tcPr>
            <w:tcMar>
              <w:top w:w="40.0" w:type="dxa"/>
              <w:left w:w="40.0" w:type="dxa"/>
              <w:bottom w:w="40.0" w:type="dxa"/>
              <w:right w:w="40.0" w:type="dxa"/>
            </w:tcMar>
          </w:tcPr>
          <w:p w:rsidR="00000000" w:rsidDel="00000000" w:rsidP="00000000" w:rsidRDefault="00000000" w:rsidRPr="00000000" w14:paraId="00000209">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PSAR</w:t>
            </w:r>
          </w:p>
        </w:tc>
        <w:tc>
          <w:tcPr>
            <w:tcMar>
              <w:top w:w="40.0" w:type="dxa"/>
              <w:left w:w="40.0" w:type="dxa"/>
              <w:bottom w:w="40.0" w:type="dxa"/>
              <w:right w:w="40.0" w:type="dxa"/>
            </w:tcMar>
          </w:tcPr>
          <w:p w:rsidR="00000000" w:rsidDel="00000000" w:rsidP="00000000" w:rsidRDefault="00000000" w:rsidRPr="00000000" w14:paraId="0000020A">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0B">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Performance Index</w:t>
            </w:r>
          </w:p>
        </w:tc>
        <w:tc>
          <w:tcPr>
            <w:tcMar>
              <w:top w:w="40.0" w:type="dxa"/>
              <w:left w:w="40.0" w:type="dxa"/>
              <w:bottom w:w="40.0" w:type="dxa"/>
              <w:right w:w="40.0" w:type="dxa"/>
            </w:tcMar>
          </w:tcPr>
          <w:p w:rsidR="00000000" w:rsidDel="00000000" w:rsidP="00000000" w:rsidRDefault="00000000" w:rsidRPr="00000000" w14:paraId="0000020C">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Perf Idx</w:t>
            </w:r>
          </w:p>
        </w:tc>
        <w:tc>
          <w:tcPr>
            <w:tcMar>
              <w:top w:w="40.0" w:type="dxa"/>
              <w:left w:w="40.0" w:type="dxa"/>
              <w:bottom w:w="40.0" w:type="dxa"/>
              <w:right w:w="40.0" w:type="dxa"/>
            </w:tcMar>
          </w:tcPr>
          <w:p w:rsidR="00000000" w:rsidDel="00000000" w:rsidP="00000000" w:rsidRDefault="00000000" w:rsidRPr="00000000" w14:paraId="0000020D">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0E">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Pivot Points</w:t>
            </w:r>
          </w:p>
        </w:tc>
        <w:tc>
          <w:tcPr>
            <w:tcMar>
              <w:top w:w="40.0" w:type="dxa"/>
              <w:left w:w="40.0" w:type="dxa"/>
              <w:bottom w:w="40.0" w:type="dxa"/>
              <w:right w:w="40.0" w:type="dxa"/>
            </w:tcMar>
          </w:tcPr>
          <w:p w:rsidR="00000000" w:rsidDel="00000000" w:rsidP="00000000" w:rsidRDefault="00000000" w:rsidRPr="00000000" w14:paraId="0000020F">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Pivot Points</w:t>
            </w:r>
          </w:p>
        </w:tc>
        <w:tc>
          <w:tcPr>
            <w:tcMar>
              <w:top w:w="40.0" w:type="dxa"/>
              <w:left w:w="40.0" w:type="dxa"/>
              <w:bottom w:w="40.0" w:type="dxa"/>
              <w:right w:w="40.0" w:type="dxa"/>
            </w:tcMar>
          </w:tcPr>
          <w:p w:rsidR="00000000" w:rsidDel="00000000" w:rsidP="00000000" w:rsidRDefault="00000000" w:rsidRPr="00000000" w14:paraId="00000210">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11">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Positive Volume Index</w:t>
            </w:r>
          </w:p>
        </w:tc>
        <w:tc>
          <w:tcPr>
            <w:tcMar>
              <w:top w:w="40.0" w:type="dxa"/>
              <w:left w:w="40.0" w:type="dxa"/>
              <w:bottom w:w="40.0" w:type="dxa"/>
              <w:right w:w="40.0" w:type="dxa"/>
            </w:tcMar>
          </w:tcPr>
          <w:p w:rsidR="00000000" w:rsidDel="00000000" w:rsidP="00000000" w:rsidRDefault="00000000" w:rsidRPr="00000000" w14:paraId="00000212">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Pos Vol</w:t>
            </w:r>
          </w:p>
        </w:tc>
        <w:tc>
          <w:tcPr>
            <w:tcMar>
              <w:top w:w="40.0" w:type="dxa"/>
              <w:left w:w="40.0" w:type="dxa"/>
              <w:bottom w:w="40.0" w:type="dxa"/>
              <w:right w:w="40.0" w:type="dxa"/>
            </w:tcMar>
          </w:tcPr>
          <w:p w:rsidR="00000000" w:rsidDel="00000000" w:rsidP="00000000" w:rsidRDefault="00000000" w:rsidRPr="00000000" w14:paraId="00000213">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14">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Pretty Good Oscillator</w:t>
            </w:r>
          </w:p>
        </w:tc>
        <w:tc>
          <w:tcPr>
            <w:tcMar>
              <w:top w:w="40.0" w:type="dxa"/>
              <w:left w:w="40.0" w:type="dxa"/>
              <w:bottom w:w="40.0" w:type="dxa"/>
              <w:right w:w="40.0" w:type="dxa"/>
            </w:tcMar>
          </w:tcPr>
          <w:p w:rsidR="00000000" w:rsidDel="00000000" w:rsidP="00000000" w:rsidRDefault="00000000" w:rsidRPr="00000000" w14:paraId="00000215">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Pretty Good</w:t>
            </w:r>
          </w:p>
        </w:tc>
        <w:tc>
          <w:tcPr>
            <w:tcMar>
              <w:top w:w="40.0" w:type="dxa"/>
              <w:left w:w="40.0" w:type="dxa"/>
              <w:bottom w:w="40.0" w:type="dxa"/>
              <w:right w:w="40.0" w:type="dxa"/>
            </w:tcMar>
          </w:tcPr>
          <w:p w:rsidR="00000000" w:rsidDel="00000000" w:rsidP="00000000" w:rsidRDefault="00000000" w:rsidRPr="00000000" w14:paraId="00000216">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17">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Price Momentum Oscillator</w:t>
            </w:r>
          </w:p>
        </w:tc>
        <w:tc>
          <w:tcPr>
            <w:tcMar>
              <w:top w:w="40.0" w:type="dxa"/>
              <w:left w:w="40.0" w:type="dxa"/>
              <w:bottom w:w="40.0" w:type="dxa"/>
              <w:right w:w="40.0" w:type="dxa"/>
            </w:tcMar>
          </w:tcPr>
          <w:p w:rsidR="00000000" w:rsidDel="00000000" w:rsidP="00000000" w:rsidRDefault="00000000" w:rsidRPr="00000000" w14:paraId="00000218">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PMO</w:t>
            </w:r>
          </w:p>
        </w:tc>
        <w:tc>
          <w:tcPr>
            <w:tcMar>
              <w:top w:w="40.0" w:type="dxa"/>
              <w:left w:w="40.0" w:type="dxa"/>
              <w:bottom w:w="40.0" w:type="dxa"/>
              <w:right w:w="40.0" w:type="dxa"/>
            </w:tcMar>
          </w:tcPr>
          <w:p w:rsidR="00000000" w:rsidDel="00000000" w:rsidP="00000000" w:rsidRDefault="00000000" w:rsidRPr="00000000" w14:paraId="00000219">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1A">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Price Oscillator</w:t>
            </w:r>
          </w:p>
        </w:tc>
        <w:tc>
          <w:tcPr>
            <w:tcMar>
              <w:top w:w="40.0" w:type="dxa"/>
              <w:left w:w="40.0" w:type="dxa"/>
              <w:bottom w:w="40.0" w:type="dxa"/>
              <w:right w:w="40.0" w:type="dxa"/>
            </w:tcMar>
          </w:tcPr>
          <w:p w:rsidR="00000000" w:rsidDel="00000000" w:rsidP="00000000" w:rsidRDefault="00000000" w:rsidRPr="00000000" w14:paraId="0000021B">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Price Osc</w:t>
            </w:r>
          </w:p>
        </w:tc>
        <w:tc>
          <w:tcPr>
            <w:tcMar>
              <w:top w:w="40.0" w:type="dxa"/>
              <w:left w:w="40.0" w:type="dxa"/>
              <w:bottom w:w="40.0" w:type="dxa"/>
              <w:right w:w="40.0" w:type="dxa"/>
            </w:tcMar>
          </w:tcPr>
          <w:p w:rsidR="00000000" w:rsidDel="00000000" w:rsidP="00000000" w:rsidRDefault="00000000" w:rsidRPr="00000000" w14:paraId="0000021C">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1D">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Price Rate of Change</w:t>
            </w:r>
          </w:p>
        </w:tc>
        <w:tc>
          <w:tcPr>
            <w:tcMar>
              <w:top w:w="40.0" w:type="dxa"/>
              <w:left w:w="40.0" w:type="dxa"/>
              <w:bottom w:w="40.0" w:type="dxa"/>
              <w:right w:w="40.0" w:type="dxa"/>
            </w:tcMar>
          </w:tcPr>
          <w:p w:rsidR="00000000" w:rsidDel="00000000" w:rsidP="00000000" w:rsidRDefault="00000000" w:rsidRPr="00000000" w14:paraId="0000021E">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Price ROC</w:t>
            </w:r>
          </w:p>
        </w:tc>
        <w:tc>
          <w:tcPr>
            <w:tcMar>
              <w:top w:w="40.0" w:type="dxa"/>
              <w:left w:w="40.0" w:type="dxa"/>
              <w:bottom w:w="40.0" w:type="dxa"/>
              <w:right w:w="40.0" w:type="dxa"/>
            </w:tcMar>
          </w:tcPr>
          <w:p w:rsidR="00000000" w:rsidDel="00000000" w:rsidP="00000000" w:rsidRDefault="00000000" w:rsidRPr="00000000" w14:paraId="0000021F">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20">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Price Relative</w:t>
            </w:r>
          </w:p>
        </w:tc>
        <w:tc>
          <w:tcPr>
            <w:tcMar>
              <w:top w:w="40.0" w:type="dxa"/>
              <w:left w:w="40.0" w:type="dxa"/>
              <w:bottom w:w="40.0" w:type="dxa"/>
              <w:right w:w="40.0" w:type="dxa"/>
            </w:tcMar>
          </w:tcPr>
          <w:p w:rsidR="00000000" w:rsidDel="00000000" w:rsidP="00000000" w:rsidRDefault="00000000" w:rsidRPr="00000000" w14:paraId="00000221">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P Rel</w:t>
            </w:r>
          </w:p>
        </w:tc>
        <w:tc>
          <w:tcPr>
            <w:tcMar>
              <w:top w:w="40.0" w:type="dxa"/>
              <w:left w:w="40.0" w:type="dxa"/>
              <w:bottom w:w="40.0" w:type="dxa"/>
              <w:right w:w="40.0" w:type="dxa"/>
            </w:tcMar>
          </w:tcPr>
          <w:p w:rsidR="00000000" w:rsidDel="00000000" w:rsidP="00000000" w:rsidRDefault="00000000" w:rsidRPr="00000000" w14:paraId="00000222">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23">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Price Volume Trend</w:t>
            </w:r>
          </w:p>
        </w:tc>
        <w:tc>
          <w:tcPr>
            <w:tcMar>
              <w:top w:w="40.0" w:type="dxa"/>
              <w:left w:w="40.0" w:type="dxa"/>
              <w:bottom w:w="40.0" w:type="dxa"/>
              <w:right w:w="40.0" w:type="dxa"/>
            </w:tcMar>
          </w:tcPr>
          <w:p w:rsidR="00000000" w:rsidDel="00000000" w:rsidP="00000000" w:rsidRDefault="00000000" w:rsidRPr="00000000" w14:paraId="00000224">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Price Vol</w:t>
            </w:r>
          </w:p>
        </w:tc>
        <w:tc>
          <w:tcPr>
            <w:tcMar>
              <w:top w:w="40.0" w:type="dxa"/>
              <w:left w:w="40.0" w:type="dxa"/>
              <w:bottom w:w="40.0" w:type="dxa"/>
              <w:right w:w="40.0" w:type="dxa"/>
            </w:tcMar>
          </w:tcPr>
          <w:p w:rsidR="00000000" w:rsidDel="00000000" w:rsidP="00000000" w:rsidRDefault="00000000" w:rsidRPr="00000000" w14:paraId="00000225">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26">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Prime Number Bands</w:t>
            </w:r>
          </w:p>
        </w:tc>
        <w:tc>
          <w:tcPr>
            <w:tcMar>
              <w:top w:w="40.0" w:type="dxa"/>
              <w:left w:w="40.0" w:type="dxa"/>
              <w:bottom w:w="40.0" w:type="dxa"/>
              <w:right w:w="40.0" w:type="dxa"/>
            </w:tcMar>
          </w:tcPr>
          <w:p w:rsidR="00000000" w:rsidDel="00000000" w:rsidP="00000000" w:rsidRDefault="00000000" w:rsidRPr="00000000" w14:paraId="00000227">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Prime Number Bands</w:t>
            </w:r>
          </w:p>
        </w:tc>
        <w:tc>
          <w:tcPr>
            <w:tcMar>
              <w:top w:w="40.0" w:type="dxa"/>
              <w:left w:w="40.0" w:type="dxa"/>
              <w:bottom w:w="40.0" w:type="dxa"/>
              <w:right w:w="40.0" w:type="dxa"/>
            </w:tcMar>
          </w:tcPr>
          <w:p w:rsidR="00000000" w:rsidDel="00000000" w:rsidP="00000000" w:rsidRDefault="00000000" w:rsidRPr="00000000" w14:paraId="00000228">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29">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Prime Number Oscillator</w:t>
            </w:r>
          </w:p>
        </w:tc>
        <w:tc>
          <w:tcPr>
            <w:tcMar>
              <w:top w:w="40.0" w:type="dxa"/>
              <w:left w:w="40.0" w:type="dxa"/>
              <w:bottom w:w="40.0" w:type="dxa"/>
              <w:right w:w="40.0" w:type="dxa"/>
            </w:tcMar>
          </w:tcPr>
          <w:p w:rsidR="00000000" w:rsidDel="00000000" w:rsidP="00000000" w:rsidRDefault="00000000" w:rsidRPr="00000000" w14:paraId="0000022A">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Prime Number</w:t>
            </w:r>
          </w:p>
        </w:tc>
        <w:tc>
          <w:tcPr>
            <w:tcMar>
              <w:top w:w="40.0" w:type="dxa"/>
              <w:left w:w="40.0" w:type="dxa"/>
              <w:bottom w:w="40.0" w:type="dxa"/>
              <w:right w:w="40.0" w:type="dxa"/>
            </w:tcMar>
          </w:tcPr>
          <w:p w:rsidR="00000000" w:rsidDel="00000000" w:rsidP="00000000" w:rsidRDefault="00000000" w:rsidRPr="00000000" w14:paraId="0000022B">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2C">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Pring’s Know Sure Thing</w:t>
            </w:r>
          </w:p>
        </w:tc>
        <w:tc>
          <w:tcPr>
            <w:tcMar>
              <w:top w:w="40.0" w:type="dxa"/>
              <w:left w:w="40.0" w:type="dxa"/>
              <w:bottom w:w="40.0" w:type="dxa"/>
              <w:right w:w="40.0" w:type="dxa"/>
            </w:tcMar>
          </w:tcPr>
          <w:p w:rsidR="00000000" w:rsidDel="00000000" w:rsidP="00000000" w:rsidRDefault="00000000" w:rsidRPr="00000000" w14:paraId="0000022D">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Pring KST</w:t>
            </w:r>
          </w:p>
        </w:tc>
        <w:tc>
          <w:tcPr>
            <w:tcMar>
              <w:top w:w="40.0" w:type="dxa"/>
              <w:left w:w="40.0" w:type="dxa"/>
              <w:bottom w:w="40.0" w:type="dxa"/>
              <w:right w:w="40.0" w:type="dxa"/>
            </w:tcMar>
          </w:tcPr>
          <w:p w:rsidR="00000000" w:rsidDel="00000000" w:rsidP="00000000" w:rsidRDefault="00000000" w:rsidRPr="00000000" w14:paraId="0000022E">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2F">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Pring’s Special K</w:t>
            </w:r>
          </w:p>
        </w:tc>
        <w:tc>
          <w:tcPr>
            <w:tcMar>
              <w:top w:w="40.0" w:type="dxa"/>
              <w:left w:w="40.0" w:type="dxa"/>
              <w:bottom w:w="40.0" w:type="dxa"/>
              <w:right w:w="40.0" w:type="dxa"/>
            </w:tcMar>
          </w:tcPr>
          <w:p w:rsidR="00000000" w:rsidDel="00000000" w:rsidP="00000000" w:rsidRDefault="00000000" w:rsidRPr="00000000" w14:paraId="00000230">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Pring Sp-K</w:t>
            </w:r>
          </w:p>
        </w:tc>
        <w:tc>
          <w:tcPr>
            <w:tcMar>
              <w:top w:w="40.0" w:type="dxa"/>
              <w:left w:w="40.0" w:type="dxa"/>
              <w:bottom w:w="40.0" w:type="dxa"/>
              <w:right w:w="40.0" w:type="dxa"/>
            </w:tcMar>
          </w:tcPr>
          <w:p w:rsidR="00000000" w:rsidDel="00000000" w:rsidP="00000000" w:rsidRDefault="00000000" w:rsidRPr="00000000" w14:paraId="00000231">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32">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Projected Aggregate Volume</w:t>
            </w:r>
          </w:p>
        </w:tc>
        <w:tc>
          <w:tcPr>
            <w:tcMar>
              <w:top w:w="40.0" w:type="dxa"/>
              <w:left w:w="40.0" w:type="dxa"/>
              <w:bottom w:w="40.0" w:type="dxa"/>
              <w:right w:w="40.0" w:type="dxa"/>
            </w:tcMar>
          </w:tcPr>
          <w:p w:rsidR="00000000" w:rsidDel="00000000" w:rsidP="00000000" w:rsidRDefault="00000000" w:rsidRPr="00000000" w14:paraId="00000233">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PAV</w:t>
            </w:r>
          </w:p>
        </w:tc>
        <w:tc>
          <w:tcPr>
            <w:tcMar>
              <w:top w:w="40.0" w:type="dxa"/>
              <w:left w:w="40.0" w:type="dxa"/>
              <w:bottom w:w="40.0" w:type="dxa"/>
              <w:right w:w="40.0" w:type="dxa"/>
            </w:tcMar>
          </w:tcPr>
          <w:p w:rsidR="00000000" w:rsidDel="00000000" w:rsidP="00000000" w:rsidRDefault="00000000" w:rsidRPr="00000000" w14:paraId="00000234">
            <w:pPr>
              <w:keepLines w:val="1"/>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Customizable lookback days and anchor time. Customizable colors for average line and bar graph. See </w:t>
            </w:r>
            <w:hyperlink w:anchor="_heading=h.19c6y18">
              <w:r w:rsidDel="00000000" w:rsidR="00000000" w:rsidRPr="00000000">
                <w:rPr>
                  <w:color w:val="0000ff"/>
                  <w:u w:val="single"/>
                  <w:rtl w:val="0"/>
                </w:rPr>
                <w:t xml:space="preserve">Projected Aggregate Volume</w:t>
              </w:r>
            </w:hyperlink>
            <w:r w:rsidDel="00000000" w:rsidR="00000000" w:rsidRPr="00000000">
              <w:rPr>
                <w:color w:val="000000"/>
                <w:rtl w:val="0"/>
              </w:rPr>
              <w:t xml:space="preserve"> above.</w:t>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35">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Projected Volume at Time</w:t>
            </w:r>
          </w:p>
        </w:tc>
        <w:tc>
          <w:tcPr>
            <w:tcMar>
              <w:top w:w="40.0" w:type="dxa"/>
              <w:left w:w="40.0" w:type="dxa"/>
              <w:bottom w:w="40.0" w:type="dxa"/>
              <w:right w:w="40.0" w:type="dxa"/>
            </w:tcMar>
          </w:tcPr>
          <w:p w:rsidR="00000000" w:rsidDel="00000000" w:rsidP="00000000" w:rsidRDefault="00000000" w:rsidRPr="00000000" w14:paraId="00000236">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PVAT</w:t>
            </w:r>
          </w:p>
        </w:tc>
        <w:tc>
          <w:tcPr>
            <w:tcMar>
              <w:top w:w="40.0" w:type="dxa"/>
              <w:left w:w="40.0" w:type="dxa"/>
              <w:bottom w:w="40.0" w:type="dxa"/>
              <w:right w:w="40.0" w:type="dxa"/>
            </w:tcMar>
          </w:tcPr>
          <w:p w:rsidR="00000000" w:rsidDel="00000000" w:rsidP="00000000" w:rsidRDefault="00000000" w:rsidRPr="00000000" w14:paraId="00000237">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Customizable lookback days, anchor time, and alert threshold. Customizable colors for average line and bar graph. See </w:t>
            </w:r>
            <w:hyperlink w:anchor="_heading=h.2u6wntf">
              <w:r w:rsidDel="00000000" w:rsidR="00000000" w:rsidRPr="00000000">
                <w:rPr>
                  <w:color w:val="0000ff"/>
                  <w:u w:val="single"/>
                  <w:rtl w:val="0"/>
                </w:rPr>
                <w:t xml:space="preserve">Projected Volume at Time</w:t>
              </w:r>
            </w:hyperlink>
            <w:r w:rsidDel="00000000" w:rsidR="00000000" w:rsidRPr="00000000">
              <w:rPr>
                <w:color w:val="000000"/>
                <w:rtl w:val="0"/>
              </w:rPr>
              <w:t xml:space="preserve"> above.</w:t>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38">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Psychological Line</w:t>
            </w:r>
          </w:p>
        </w:tc>
        <w:tc>
          <w:tcPr>
            <w:tcMar>
              <w:top w:w="40.0" w:type="dxa"/>
              <w:left w:w="40.0" w:type="dxa"/>
              <w:bottom w:w="40.0" w:type="dxa"/>
              <w:right w:w="40.0" w:type="dxa"/>
            </w:tcMar>
          </w:tcPr>
          <w:p w:rsidR="00000000" w:rsidDel="00000000" w:rsidP="00000000" w:rsidRDefault="00000000" w:rsidRPr="00000000" w14:paraId="00000239">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PSY</w:t>
            </w:r>
          </w:p>
        </w:tc>
        <w:tc>
          <w:tcPr>
            <w:tcMar>
              <w:top w:w="40.0" w:type="dxa"/>
              <w:left w:w="40.0" w:type="dxa"/>
              <w:bottom w:w="40.0" w:type="dxa"/>
              <w:right w:w="40.0" w:type="dxa"/>
            </w:tcMar>
          </w:tcPr>
          <w:p w:rsidR="00000000" w:rsidDel="00000000" w:rsidP="00000000" w:rsidRDefault="00000000" w:rsidRPr="00000000" w14:paraId="0000023A">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3B">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QStick</w:t>
            </w:r>
          </w:p>
        </w:tc>
        <w:tc>
          <w:tcPr>
            <w:tcMar>
              <w:top w:w="40.0" w:type="dxa"/>
              <w:left w:w="40.0" w:type="dxa"/>
              <w:bottom w:w="40.0" w:type="dxa"/>
              <w:right w:w="40.0" w:type="dxa"/>
            </w:tcMar>
          </w:tcPr>
          <w:p w:rsidR="00000000" w:rsidDel="00000000" w:rsidP="00000000" w:rsidRDefault="00000000" w:rsidRPr="00000000" w14:paraId="0000023C">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QStick</w:t>
            </w:r>
          </w:p>
        </w:tc>
        <w:tc>
          <w:tcPr>
            <w:tcMar>
              <w:top w:w="40.0" w:type="dxa"/>
              <w:left w:w="40.0" w:type="dxa"/>
              <w:bottom w:w="40.0" w:type="dxa"/>
              <w:right w:w="40.0" w:type="dxa"/>
            </w:tcMar>
          </w:tcPr>
          <w:p w:rsidR="00000000" w:rsidDel="00000000" w:rsidP="00000000" w:rsidRDefault="00000000" w:rsidRPr="00000000" w14:paraId="0000023D">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3E">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RAVI</w:t>
            </w:r>
          </w:p>
        </w:tc>
        <w:tc>
          <w:tcPr>
            <w:tcMar>
              <w:top w:w="40.0" w:type="dxa"/>
              <w:left w:w="40.0" w:type="dxa"/>
              <w:bottom w:w="40.0" w:type="dxa"/>
              <w:right w:w="40.0" w:type="dxa"/>
            </w:tcMar>
          </w:tcPr>
          <w:p w:rsidR="00000000" w:rsidDel="00000000" w:rsidP="00000000" w:rsidRDefault="00000000" w:rsidRPr="00000000" w14:paraId="0000023F">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RAVI</w:t>
            </w:r>
          </w:p>
        </w:tc>
        <w:tc>
          <w:tcPr>
            <w:tcMar>
              <w:top w:w="40.0" w:type="dxa"/>
              <w:left w:w="40.0" w:type="dxa"/>
              <w:bottom w:w="40.0" w:type="dxa"/>
              <w:right w:w="40.0" w:type="dxa"/>
            </w:tcMar>
          </w:tcPr>
          <w:p w:rsidR="00000000" w:rsidDel="00000000" w:rsidP="00000000" w:rsidRDefault="00000000" w:rsidRPr="00000000" w14:paraId="00000240">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41">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RSI</w:t>
            </w:r>
          </w:p>
        </w:tc>
        <w:tc>
          <w:tcPr>
            <w:tcMar>
              <w:top w:w="40.0" w:type="dxa"/>
              <w:left w:w="40.0" w:type="dxa"/>
              <w:bottom w:w="40.0" w:type="dxa"/>
              <w:right w:w="40.0" w:type="dxa"/>
            </w:tcMar>
          </w:tcPr>
          <w:p w:rsidR="00000000" w:rsidDel="00000000" w:rsidP="00000000" w:rsidRDefault="00000000" w:rsidRPr="00000000" w14:paraId="00000242">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rsi</w:t>
            </w:r>
          </w:p>
        </w:tc>
        <w:tc>
          <w:tcPr>
            <w:tcMar>
              <w:top w:w="40.0" w:type="dxa"/>
              <w:left w:w="40.0" w:type="dxa"/>
              <w:bottom w:w="40.0" w:type="dxa"/>
              <w:right w:w="40.0" w:type="dxa"/>
            </w:tcMar>
          </w:tcPr>
          <w:p w:rsidR="00000000" w:rsidDel="00000000" w:rsidP="00000000" w:rsidRDefault="00000000" w:rsidRPr="00000000" w14:paraId="00000243">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44">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Rainbow Moving Average</w:t>
            </w:r>
          </w:p>
        </w:tc>
        <w:tc>
          <w:tcPr>
            <w:tcMar>
              <w:top w:w="40.0" w:type="dxa"/>
              <w:left w:w="40.0" w:type="dxa"/>
              <w:bottom w:w="40.0" w:type="dxa"/>
              <w:right w:w="40.0" w:type="dxa"/>
            </w:tcMar>
          </w:tcPr>
          <w:p w:rsidR="00000000" w:rsidDel="00000000" w:rsidP="00000000" w:rsidRDefault="00000000" w:rsidRPr="00000000" w14:paraId="00000245">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Rainbow MA</w:t>
            </w:r>
          </w:p>
        </w:tc>
        <w:tc>
          <w:tcPr>
            <w:tcMar>
              <w:top w:w="40.0" w:type="dxa"/>
              <w:left w:w="40.0" w:type="dxa"/>
              <w:bottom w:w="40.0" w:type="dxa"/>
              <w:right w:w="40.0" w:type="dxa"/>
            </w:tcMar>
          </w:tcPr>
          <w:p w:rsidR="00000000" w:rsidDel="00000000" w:rsidP="00000000" w:rsidRDefault="00000000" w:rsidRPr="00000000" w14:paraId="00000246">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47">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Rainbow Oscillator</w:t>
            </w:r>
          </w:p>
        </w:tc>
        <w:tc>
          <w:tcPr>
            <w:tcMar>
              <w:top w:w="40.0" w:type="dxa"/>
              <w:left w:w="40.0" w:type="dxa"/>
              <w:bottom w:w="40.0" w:type="dxa"/>
              <w:right w:w="40.0" w:type="dxa"/>
            </w:tcMar>
          </w:tcPr>
          <w:p w:rsidR="00000000" w:rsidDel="00000000" w:rsidP="00000000" w:rsidRDefault="00000000" w:rsidRPr="00000000" w14:paraId="00000248">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Rainbow Osc</w:t>
            </w:r>
          </w:p>
        </w:tc>
        <w:tc>
          <w:tcPr>
            <w:tcMar>
              <w:top w:w="40.0" w:type="dxa"/>
              <w:left w:w="40.0" w:type="dxa"/>
              <w:bottom w:w="40.0" w:type="dxa"/>
              <w:right w:w="40.0" w:type="dxa"/>
            </w:tcMar>
          </w:tcPr>
          <w:p w:rsidR="00000000" w:rsidDel="00000000" w:rsidP="00000000" w:rsidRDefault="00000000" w:rsidRPr="00000000" w14:paraId="00000249">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4A">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Random Walk Index</w:t>
            </w:r>
          </w:p>
        </w:tc>
        <w:tc>
          <w:tcPr>
            <w:tcMar>
              <w:top w:w="40.0" w:type="dxa"/>
              <w:left w:w="40.0" w:type="dxa"/>
              <w:bottom w:w="40.0" w:type="dxa"/>
              <w:right w:w="40.0" w:type="dxa"/>
            </w:tcMar>
          </w:tcPr>
          <w:p w:rsidR="00000000" w:rsidDel="00000000" w:rsidP="00000000" w:rsidRDefault="00000000" w:rsidRPr="00000000" w14:paraId="0000024B">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Random Walk</w:t>
            </w:r>
          </w:p>
        </w:tc>
        <w:tc>
          <w:tcPr>
            <w:tcMar>
              <w:top w:w="40.0" w:type="dxa"/>
              <w:left w:w="40.0" w:type="dxa"/>
              <w:bottom w:w="40.0" w:type="dxa"/>
              <w:right w:w="40.0" w:type="dxa"/>
            </w:tcMar>
          </w:tcPr>
          <w:p w:rsidR="00000000" w:rsidDel="00000000" w:rsidP="00000000" w:rsidRDefault="00000000" w:rsidRPr="00000000" w14:paraId="0000024C">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4D">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Relative Vigor Index</w:t>
            </w:r>
          </w:p>
        </w:tc>
        <w:tc>
          <w:tcPr>
            <w:tcMar>
              <w:top w:w="40.0" w:type="dxa"/>
              <w:left w:w="40.0" w:type="dxa"/>
              <w:bottom w:w="40.0" w:type="dxa"/>
              <w:right w:w="40.0" w:type="dxa"/>
            </w:tcMar>
          </w:tcPr>
          <w:p w:rsidR="00000000" w:rsidDel="00000000" w:rsidP="00000000" w:rsidRDefault="00000000" w:rsidRPr="00000000" w14:paraId="0000024E">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Rel Vig</w:t>
            </w:r>
          </w:p>
        </w:tc>
        <w:tc>
          <w:tcPr>
            <w:tcMar>
              <w:top w:w="40.0" w:type="dxa"/>
              <w:left w:w="40.0" w:type="dxa"/>
              <w:bottom w:w="40.0" w:type="dxa"/>
              <w:right w:w="40.0" w:type="dxa"/>
            </w:tcMar>
          </w:tcPr>
          <w:p w:rsidR="00000000" w:rsidDel="00000000" w:rsidP="00000000" w:rsidRDefault="00000000" w:rsidRPr="00000000" w14:paraId="0000024F">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50">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Relative Volatility</w:t>
            </w:r>
          </w:p>
        </w:tc>
        <w:tc>
          <w:tcPr>
            <w:tcMar>
              <w:top w:w="40.0" w:type="dxa"/>
              <w:left w:w="40.0" w:type="dxa"/>
              <w:bottom w:w="40.0" w:type="dxa"/>
              <w:right w:w="40.0" w:type="dxa"/>
            </w:tcMar>
          </w:tcPr>
          <w:p w:rsidR="00000000" w:rsidDel="00000000" w:rsidP="00000000" w:rsidRDefault="00000000" w:rsidRPr="00000000" w14:paraId="00000251">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Rel Vol</w:t>
            </w:r>
          </w:p>
        </w:tc>
        <w:tc>
          <w:tcPr>
            <w:tcMar>
              <w:top w:w="40.0" w:type="dxa"/>
              <w:left w:w="40.0" w:type="dxa"/>
              <w:bottom w:w="40.0" w:type="dxa"/>
              <w:right w:w="40.0" w:type="dxa"/>
            </w:tcMar>
          </w:tcPr>
          <w:p w:rsidR="00000000" w:rsidDel="00000000" w:rsidP="00000000" w:rsidRDefault="00000000" w:rsidRPr="00000000" w14:paraId="00000252">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53">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STARC Bands</w:t>
            </w:r>
          </w:p>
        </w:tc>
        <w:tc>
          <w:tcPr>
            <w:tcMar>
              <w:top w:w="40.0" w:type="dxa"/>
              <w:left w:w="40.0" w:type="dxa"/>
              <w:bottom w:w="40.0" w:type="dxa"/>
              <w:right w:w="40.0" w:type="dxa"/>
            </w:tcMar>
          </w:tcPr>
          <w:p w:rsidR="00000000" w:rsidDel="00000000" w:rsidP="00000000" w:rsidRDefault="00000000" w:rsidRPr="00000000" w14:paraId="00000254">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STARC Bands</w:t>
            </w:r>
          </w:p>
        </w:tc>
        <w:tc>
          <w:tcPr>
            <w:tcMar>
              <w:top w:w="40.0" w:type="dxa"/>
              <w:left w:w="40.0" w:type="dxa"/>
              <w:bottom w:w="40.0" w:type="dxa"/>
              <w:right w:w="40.0" w:type="dxa"/>
            </w:tcMar>
          </w:tcPr>
          <w:p w:rsidR="00000000" w:rsidDel="00000000" w:rsidP="00000000" w:rsidRDefault="00000000" w:rsidRPr="00000000" w14:paraId="00000255">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56">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Schaff Trend Cycle</w:t>
            </w:r>
          </w:p>
        </w:tc>
        <w:tc>
          <w:tcPr>
            <w:tcMar>
              <w:top w:w="40.0" w:type="dxa"/>
              <w:left w:w="40.0" w:type="dxa"/>
              <w:bottom w:w="40.0" w:type="dxa"/>
              <w:right w:w="40.0" w:type="dxa"/>
            </w:tcMar>
          </w:tcPr>
          <w:p w:rsidR="00000000" w:rsidDel="00000000" w:rsidP="00000000" w:rsidRDefault="00000000" w:rsidRPr="00000000" w14:paraId="00000257">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Schaff</w:t>
            </w:r>
          </w:p>
        </w:tc>
        <w:tc>
          <w:tcPr>
            <w:tcMar>
              <w:top w:w="40.0" w:type="dxa"/>
              <w:left w:w="40.0" w:type="dxa"/>
              <w:bottom w:w="40.0" w:type="dxa"/>
              <w:right w:w="40.0" w:type="dxa"/>
            </w:tcMar>
          </w:tcPr>
          <w:p w:rsidR="00000000" w:rsidDel="00000000" w:rsidP="00000000" w:rsidRDefault="00000000" w:rsidRPr="00000000" w14:paraId="00000258">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59">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Shinohara Intensity Ratio</w:t>
            </w:r>
          </w:p>
        </w:tc>
        <w:tc>
          <w:tcPr>
            <w:tcMar>
              <w:top w:w="40.0" w:type="dxa"/>
              <w:left w:w="40.0" w:type="dxa"/>
              <w:bottom w:w="40.0" w:type="dxa"/>
              <w:right w:w="40.0" w:type="dxa"/>
            </w:tcMar>
          </w:tcPr>
          <w:p w:rsidR="00000000" w:rsidDel="00000000" w:rsidP="00000000" w:rsidRDefault="00000000" w:rsidRPr="00000000" w14:paraId="0000025A">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Shinohara</w:t>
            </w:r>
          </w:p>
        </w:tc>
        <w:tc>
          <w:tcPr>
            <w:tcMar>
              <w:top w:w="40.0" w:type="dxa"/>
              <w:left w:w="40.0" w:type="dxa"/>
              <w:bottom w:w="40.0" w:type="dxa"/>
              <w:right w:w="40.0" w:type="dxa"/>
            </w:tcMar>
          </w:tcPr>
          <w:p w:rsidR="00000000" w:rsidDel="00000000" w:rsidP="00000000" w:rsidRDefault="00000000" w:rsidRPr="00000000" w14:paraId="0000025B">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5C">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Standard Deviation</w:t>
            </w:r>
          </w:p>
        </w:tc>
        <w:tc>
          <w:tcPr>
            <w:tcMar>
              <w:top w:w="40.0" w:type="dxa"/>
              <w:left w:w="40.0" w:type="dxa"/>
              <w:bottom w:w="40.0" w:type="dxa"/>
              <w:right w:w="40.0" w:type="dxa"/>
            </w:tcMar>
          </w:tcPr>
          <w:p w:rsidR="00000000" w:rsidDel="00000000" w:rsidP="00000000" w:rsidRDefault="00000000" w:rsidRPr="00000000" w14:paraId="0000025D">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STD Dev</w:t>
            </w:r>
          </w:p>
        </w:tc>
        <w:tc>
          <w:tcPr>
            <w:tcMar>
              <w:top w:w="40.0" w:type="dxa"/>
              <w:left w:w="40.0" w:type="dxa"/>
              <w:bottom w:w="40.0" w:type="dxa"/>
              <w:right w:w="40.0" w:type="dxa"/>
            </w:tcMar>
          </w:tcPr>
          <w:p w:rsidR="00000000" w:rsidDel="00000000" w:rsidP="00000000" w:rsidRDefault="00000000" w:rsidRPr="00000000" w14:paraId="0000025E">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5F">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Stochastic Momentum Index</w:t>
            </w:r>
          </w:p>
        </w:tc>
        <w:tc>
          <w:tcPr>
            <w:tcMar>
              <w:top w:w="40.0" w:type="dxa"/>
              <w:left w:w="40.0" w:type="dxa"/>
              <w:bottom w:w="40.0" w:type="dxa"/>
              <w:right w:w="40.0" w:type="dxa"/>
            </w:tcMar>
          </w:tcPr>
          <w:p w:rsidR="00000000" w:rsidDel="00000000" w:rsidP="00000000" w:rsidRDefault="00000000" w:rsidRPr="00000000" w14:paraId="00000260">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Stch Mtm</w:t>
            </w:r>
          </w:p>
        </w:tc>
        <w:tc>
          <w:tcPr>
            <w:tcMar>
              <w:top w:w="40.0" w:type="dxa"/>
              <w:left w:w="40.0" w:type="dxa"/>
              <w:bottom w:w="40.0" w:type="dxa"/>
              <w:right w:w="40.0" w:type="dxa"/>
            </w:tcMar>
          </w:tcPr>
          <w:p w:rsidR="00000000" w:rsidDel="00000000" w:rsidP="00000000" w:rsidRDefault="00000000" w:rsidRPr="00000000" w14:paraId="00000261">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62">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Stochastics</w:t>
            </w:r>
          </w:p>
        </w:tc>
        <w:tc>
          <w:tcPr>
            <w:tcMar>
              <w:top w:w="40.0" w:type="dxa"/>
              <w:left w:w="40.0" w:type="dxa"/>
              <w:bottom w:w="40.0" w:type="dxa"/>
              <w:right w:w="40.0" w:type="dxa"/>
            </w:tcMar>
          </w:tcPr>
          <w:p w:rsidR="00000000" w:rsidDel="00000000" w:rsidP="00000000" w:rsidRDefault="00000000" w:rsidRPr="00000000" w14:paraId="00000263">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stochastics</w:t>
            </w:r>
          </w:p>
        </w:tc>
        <w:tc>
          <w:tcPr>
            <w:tcMar>
              <w:top w:w="40.0" w:type="dxa"/>
              <w:left w:w="40.0" w:type="dxa"/>
              <w:bottom w:w="40.0" w:type="dxa"/>
              <w:right w:w="40.0" w:type="dxa"/>
            </w:tcMar>
          </w:tcPr>
          <w:p w:rsidR="00000000" w:rsidDel="00000000" w:rsidP="00000000" w:rsidRDefault="00000000" w:rsidRPr="00000000" w14:paraId="00000264">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65">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Supertrend</w:t>
            </w:r>
          </w:p>
        </w:tc>
        <w:tc>
          <w:tcPr>
            <w:tcMar>
              <w:top w:w="40.0" w:type="dxa"/>
              <w:left w:w="40.0" w:type="dxa"/>
              <w:bottom w:w="40.0" w:type="dxa"/>
              <w:right w:w="40.0" w:type="dxa"/>
            </w:tcMar>
          </w:tcPr>
          <w:p w:rsidR="00000000" w:rsidDel="00000000" w:rsidP="00000000" w:rsidRDefault="00000000" w:rsidRPr="00000000" w14:paraId="00000266">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Supertrend</w:t>
            </w:r>
          </w:p>
        </w:tc>
        <w:tc>
          <w:tcPr>
            <w:tcMar>
              <w:top w:w="40.0" w:type="dxa"/>
              <w:left w:w="40.0" w:type="dxa"/>
              <w:bottom w:w="40.0" w:type="dxa"/>
              <w:right w:w="40.0" w:type="dxa"/>
            </w:tcMar>
          </w:tcPr>
          <w:p w:rsidR="00000000" w:rsidDel="00000000" w:rsidP="00000000" w:rsidRDefault="00000000" w:rsidRPr="00000000" w14:paraId="00000267">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68">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Swing Index</w:t>
            </w:r>
          </w:p>
        </w:tc>
        <w:tc>
          <w:tcPr>
            <w:tcMar>
              <w:top w:w="40.0" w:type="dxa"/>
              <w:left w:w="40.0" w:type="dxa"/>
              <w:bottom w:w="40.0" w:type="dxa"/>
              <w:right w:w="40.0" w:type="dxa"/>
            </w:tcMar>
          </w:tcPr>
          <w:p w:rsidR="00000000" w:rsidDel="00000000" w:rsidP="00000000" w:rsidRDefault="00000000" w:rsidRPr="00000000" w14:paraId="00000269">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Swing</w:t>
            </w:r>
          </w:p>
        </w:tc>
        <w:tc>
          <w:tcPr>
            <w:tcMar>
              <w:top w:w="40.0" w:type="dxa"/>
              <w:left w:w="40.0" w:type="dxa"/>
              <w:bottom w:w="40.0" w:type="dxa"/>
              <w:right w:w="40.0" w:type="dxa"/>
            </w:tcMar>
          </w:tcPr>
          <w:p w:rsidR="00000000" w:rsidDel="00000000" w:rsidP="00000000" w:rsidRDefault="00000000" w:rsidRPr="00000000" w14:paraId="0000026A">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6B">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TRIX</w:t>
            </w:r>
          </w:p>
        </w:tc>
        <w:tc>
          <w:tcPr>
            <w:tcMar>
              <w:top w:w="40.0" w:type="dxa"/>
              <w:left w:w="40.0" w:type="dxa"/>
              <w:bottom w:w="40.0" w:type="dxa"/>
              <w:right w:w="40.0" w:type="dxa"/>
            </w:tcMar>
          </w:tcPr>
          <w:p w:rsidR="00000000" w:rsidDel="00000000" w:rsidP="00000000" w:rsidRDefault="00000000" w:rsidRPr="00000000" w14:paraId="0000026C">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TRIX</w:t>
            </w:r>
          </w:p>
        </w:tc>
        <w:tc>
          <w:tcPr>
            <w:tcMar>
              <w:top w:w="40.0" w:type="dxa"/>
              <w:left w:w="40.0" w:type="dxa"/>
              <w:bottom w:w="40.0" w:type="dxa"/>
              <w:right w:w="40.0" w:type="dxa"/>
            </w:tcMar>
          </w:tcPr>
          <w:p w:rsidR="00000000" w:rsidDel="00000000" w:rsidP="00000000" w:rsidRDefault="00000000" w:rsidRPr="00000000" w14:paraId="0000026D">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6E">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Time Series Forecast</w:t>
            </w:r>
          </w:p>
        </w:tc>
        <w:tc>
          <w:tcPr>
            <w:tcMar>
              <w:top w:w="40.0" w:type="dxa"/>
              <w:left w:w="40.0" w:type="dxa"/>
              <w:bottom w:w="40.0" w:type="dxa"/>
              <w:right w:w="40.0" w:type="dxa"/>
            </w:tcMar>
          </w:tcPr>
          <w:p w:rsidR="00000000" w:rsidDel="00000000" w:rsidP="00000000" w:rsidRDefault="00000000" w:rsidRPr="00000000" w14:paraId="0000026F">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Time Fcst</w:t>
            </w:r>
          </w:p>
        </w:tc>
        <w:tc>
          <w:tcPr>
            <w:tcMar>
              <w:top w:w="40.0" w:type="dxa"/>
              <w:left w:w="40.0" w:type="dxa"/>
              <w:bottom w:w="40.0" w:type="dxa"/>
              <w:right w:w="40.0" w:type="dxa"/>
            </w:tcMar>
          </w:tcPr>
          <w:p w:rsidR="00000000" w:rsidDel="00000000" w:rsidP="00000000" w:rsidRDefault="00000000" w:rsidRPr="00000000" w14:paraId="00000270">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71">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Trade Volume Index</w:t>
            </w:r>
          </w:p>
        </w:tc>
        <w:tc>
          <w:tcPr>
            <w:tcMar>
              <w:top w:w="40.0" w:type="dxa"/>
              <w:left w:w="40.0" w:type="dxa"/>
              <w:bottom w:w="40.0" w:type="dxa"/>
              <w:right w:w="40.0" w:type="dxa"/>
            </w:tcMar>
          </w:tcPr>
          <w:p w:rsidR="00000000" w:rsidDel="00000000" w:rsidP="00000000" w:rsidRDefault="00000000" w:rsidRPr="00000000" w14:paraId="00000272">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Trade Vol</w:t>
            </w:r>
          </w:p>
        </w:tc>
        <w:tc>
          <w:tcPr>
            <w:tcMar>
              <w:top w:w="40.0" w:type="dxa"/>
              <w:left w:w="40.0" w:type="dxa"/>
              <w:bottom w:w="40.0" w:type="dxa"/>
              <w:right w:w="40.0" w:type="dxa"/>
            </w:tcMar>
          </w:tcPr>
          <w:p w:rsidR="00000000" w:rsidDel="00000000" w:rsidP="00000000" w:rsidRDefault="00000000" w:rsidRPr="00000000" w14:paraId="00000273">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74">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Trend Intensity Index</w:t>
            </w:r>
          </w:p>
        </w:tc>
        <w:tc>
          <w:tcPr>
            <w:tcMar>
              <w:top w:w="40.0" w:type="dxa"/>
              <w:left w:w="40.0" w:type="dxa"/>
              <w:bottom w:w="40.0" w:type="dxa"/>
              <w:right w:w="40.0" w:type="dxa"/>
            </w:tcMar>
          </w:tcPr>
          <w:p w:rsidR="00000000" w:rsidDel="00000000" w:rsidP="00000000" w:rsidRDefault="00000000" w:rsidRPr="00000000" w14:paraId="00000275">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Trend Int</w:t>
            </w:r>
          </w:p>
        </w:tc>
        <w:tc>
          <w:tcPr>
            <w:tcMar>
              <w:top w:w="40.0" w:type="dxa"/>
              <w:left w:w="40.0" w:type="dxa"/>
              <w:bottom w:w="40.0" w:type="dxa"/>
              <w:right w:w="40.0" w:type="dxa"/>
            </w:tcMar>
          </w:tcPr>
          <w:p w:rsidR="00000000" w:rsidDel="00000000" w:rsidP="00000000" w:rsidRDefault="00000000" w:rsidRPr="00000000" w14:paraId="00000276">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77">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True Range</w:t>
            </w:r>
          </w:p>
        </w:tc>
        <w:tc>
          <w:tcPr>
            <w:tcMar>
              <w:top w:w="40.0" w:type="dxa"/>
              <w:left w:w="40.0" w:type="dxa"/>
              <w:bottom w:w="40.0" w:type="dxa"/>
              <w:right w:w="40.0" w:type="dxa"/>
            </w:tcMar>
          </w:tcPr>
          <w:p w:rsidR="00000000" w:rsidDel="00000000" w:rsidP="00000000" w:rsidRDefault="00000000" w:rsidRPr="00000000" w14:paraId="00000278">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True Range</w:t>
            </w:r>
          </w:p>
        </w:tc>
        <w:tc>
          <w:tcPr>
            <w:tcMar>
              <w:top w:w="40.0" w:type="dxa"/>
              <w:left w:w="40.0" w:type="dxa"/>
              <w:bottom w:w="40.0" w:type="dxa"/>
              <w:right w:w="40.0" w:type="dxa"/>
            </w:tcMar>
          </w:tcPr>
          <w:p w:rsidR="00000000" w:rsidDel="00000000" w:rsidP="00000000" w:rsidRDefault="00000000" w:rsidRPr="00000000" w14:paraId="00000279">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7A">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Twiggs Money Flow</w:t>
            </w:r>
          </w:p>
        </w:tc>
        <w:tc>
          <w:tcPr>
            <w:tcMar>
              <w:top w:w="40.0" w:type="dxa"/>
              <w:left w:w="40.0" w:type="dxa"/>
              <w:bottom w:w="40.0" w:type="dxa"/>
              <w:right w:w="40.0" w:type="dxa"/>
            </w:tcMar>
          </w:tcPr>
          <w:p w:rsidR="00000000" w:rsidDel="00000000" w:rsidP="00000000" w:rsidRDefault="00000000" w:rsidRPr="00000000" w14:paraId="0000027B">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Twiggs</w:t>
            </w:r>
          </w:p>
        </w:tc>
        <w:tc>
          <w:tcPr>
            <w:tcMar>
              <w:top w:w="40.0" w:type="dxa"/>
              <w:left w:w="40.0" w:type="dxa"/>
              <w:bottom w:w="40.0" w:type="dxa"/>
              <w:right w:w="40.0" w:type="dxa"/>
            </w:tcMar>
          </w:tcPr>
          <w:p w:rsidR="00000000" w:rsidDel="00000000" w:rsidP="00000000" w:rsidRDefault="00000000" w:rsidRPr="00000000" w14:paraId="0000027C">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7D">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Typical Price</w:t>
            </w:r>
          </w:p>
        </w:tc>
        <w:tc>
          <w:tcPr>
            <w:tcMar>
              <w:top w:w="40.0" w:type="dxa"/>
              <w:left w:w="40.0" w:type="dxa"/>
              <w:bottom w:w="40.0" w:type="dxa"/>
              <w:right w:w="40.0" w:type="dxa"/>
            </w:tcMar>
          </w:tcPr>
          <w:p w:rsidR="00000000" w:rsidDel="00000000" w:rsidP="00000000" w:rsidRDefault="00000000" w:rsidRPr="00000000" w14:paraId="0000027E">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Typical Price</w:t>
            </w:r>
          </w:p>
        </w:tc>
        <w:tc>
          <w:tcPr>
            <w:tcMar>
              <w:top w:w="40.0" w:type="dxa"/>
              <w:left w:w="40.0" w:type="dxa"/>
              <w:bottom w:w="40.0" w:type="dxa"/>
              <w:right w:w="40.0" w:type="dxa"/>
            </w:tcMar>
          </w:tcPr>
          <w:p w:rsidR="00000000" w:rsidDel="00000000" w:rsidP="00000000" w:rsidRDefault="00000000" w:rsidRPr="00000000" w14:paraId="0000027F">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80">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Ulcer Index</w:t>
            </w:r>
          </w:p>
        </w:tc>
        <w:tc>
          <w:tcPr>
            <w:tcMar>
              <w:top w:w="40.0" w:type="dxa"/>
              <w:left w:w="40.0" w:type="dxa"/>
              <w:bottom w:w="40.0" w:type="dxa"/>
              <w:right w:w="40.0" w:type="dxa"/>
            </w:tcMar>
          </w:tcPr>
          <w:p w:rsidR="00000000" w:rsidDel="00000000" w:rsidP="00000000" w:rsidRDefault="00000000" w:rsidRPr="00000000" w14:paraId="00000281">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Ulcer</w:t>
            </w:r>
          </w:p>
        </w:tc>
        <w:tc>
          <w:tcPr>
            <w:tcMar>
              <w:top w:w="40.0" w:type="dxa"/>
              <w:left w:w="40.0" w:type="dxa"/>
              <w:bottom w:w="40.0" w:type="dxa"/>
              <w:right w:w="40.0" w:type="dxa"/>
            </w:tcMar>
          </w:tcPr>
          <w:p w:rsidR="00000000" w:rsidDel="00000000" w:rsidP="00000000" w:rsidRDefault="00000000" w:rsidRPr="00000000" w14:paraId="00000282">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83">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Ultimate Oscillator</w:t>
            </w:r>
          </w:p>
        </w:tc>
        <w:tc>
          <w:tcPr>
            <w:tcMar>
              <w:top w:w="40.0" w:type="dxa"/>
              <w:left w:w="40.0" w:type="dxa"/>
              <w:bottom w:w="40.0" w:type="dxa"/>
              <w:right w:w="40.0" w:type="dxa"/>
            </w:tcMar>
          </w:tcPr>
          <w:p w:rsidR="00000000" w:rsidDel="00000000" w:rsidP="00000000" w:rsidRDefault="00000000" w:rsidRPr="00000000" w14:paraId="00000284">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Ultimate</w:t>
            </w:r>
          </w:p>
        </w:tc>
        <w:tc>
          <w:tcPr>
            <w:tcMar>
              <w:top w:w="40.0" w:type="dxa"/>
              <w:left w:w="40.0" w:type="dxa"/>
              <w:bottom w:w="40.0" w:type="dxa"/>
              <w:right w:w="40.0" w:type="dxa"/>
            </w:tcMar>
          </w:tcPr>
          <w:p w:rsidR="00000000" w:rsidDel="00000000" w:rsidP="00000000" w:rsidRDefault="00000000" w:rsidRPr="00000000" w14:paraId="00000285">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86">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VWAP</w:t>
            </w:r>
          </w:p>
        </w:tc>
        <w:tc>
          <w:tcPr>
            <w:tcMar>
              <w:top w:w="40.0" w:type="dxa"/>
              <w:left w:w="40.0" w:type="dxa"/>
              <w:bottom w:w="40.0" w:type="dxa"/>
              <w:right w:w="40.0" w:type="dxa"/>
            </w:tcMar>
          </w:tcPr>
          <w:p w:rsidR="00000000" w:rsidDel="00000000" w:rsidP="00000000" w:rsidRDefault="00000000" w:rsidRPr="00000000" w14:paraId="00000287">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VWAP</w:t>
            </w:r>
          </w:p>
        </w:tc>
        <w:tc>
          <w:tcPr>
            <w:tcMar>
              <w:top w:w="40.0" w:type="dxa"/>
              <w:left w:w="40.0" w:type="dxa"/>
              <w:bottom w:w="40.0" w:type="dxa"/>
              <w:right w:w="40.0" w:type="dxa"/>
            </w:tcMar>
          </w:tcPr>
          <w:p w:rsidR="00000000" w:rsidDel="00000000" w:rsidP="00000000" w:rsidRDefault="00000000" w:rsidRPr="00000000" w14:paraId="00000288">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89">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Valuation Lines</w:t>
            </w:r>
          </w:p>
        </w:tc>
        <w:tc>
          <w:tcPr>
            <w:tcMar>
              <w:top w:w="40.0" w:type="dxa"/>
              <w:left w:w="40.0" w:type="dxa"/>
              <w:bottom w:w="40.0" w:type="dxa"/>
              <w:right w:w="40.0" w:type="dxa"/>
            </w:tcMar>
          </w:tcPr>
          <w:p w:rsidR="00000000" w:rsidDel="00000000" w:rsidP="00000000" w:rsidRDefault="00000000" w:rsidRPr="00000000" w14:paraId="0000028A">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val lines</w:t>
            </w:r>
          </w:p>
        </w:tc>
        <w:tc>
          <w:tcPr>
            <w:tcMar>
              <w:top w:w="40.0" w:type="dxa"/>
              <w:left w:w="40.0" w:type="dxa"/>
              <w:bottom w:w="40.0" w:type="dxa"/>
              <w:right w:w="40.0" w:type="dxa"/>
            </w:tcMar>
          </w:tcPr>
          <w:p w:rsidR="00000000" w:rsidDel="00000000" w:rsidP="00000000" w:rsidRDefault="00000000" w:rsidRPr="00000000" w14:paraId="0000028B">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8C">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Vertical Horizontal Filter</w:t>
            </w:r>
          </w:p>
        </w:tc>
        <w:tc>
          <w:tcPr>
            <w:tcMar>
              <w:top w:w="40.0" w:type="dxa"/>
              <w:left w:w="40.0" w:type="dxa"/>
              <w:bottom w:w="40.0" w:type="dxa"/>
              <w:right w:w="40.0" w:type="dxa"/>
            </w:tcMar>
          </w:tcPr>
          <w:p w:rsidR="00000000" w:rsidDel="00000000" w:rsidP="00000000" w:rsidRDefault="00000000" w:rsidRPr="00000000" w14:paraId="0000028D">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VT HZ Filter</w:t>
            </w:r>
          </w:p>
        </w:tc>
        <w:tc>
          <w:tcPr>
            <w:tcMar>
              <w:top w:w="40.0" w:type="dxa"/>
              <w:left w:w="40.0" w:type="dxa"/>
              <w:bottom w:w="40.0" w:type="dxa"/>
              <w:right w:w="40.0" w:type="dxa"/>
            </w:tcMar>
          </w:tcPr>
          <w:p w:rsidR="00000000" w:rsidDel="00000000" w:rsidP="00000000" w:rsidRDefault="00000000" w:rsidRPr="00000000" w14:paraId="0000028E">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8F">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t xml:space="preserve">Volatility Projection Cone</w:t>
            </w:r>
            <w:r w:rsidDel="00000000" w:rsidR="00000000" w:rsidRPr="00000000">
              <w:rPr>
                <w:rtl w:val="0"/>
              </w:rPr>
            </w:r>
          </w:p>
        </w:tc>
        <w:tc>
          <w:tcPr>
            <w:tcMar>
              <w:top w:w="40.0" w:type="dxa"/>
              <w:left w:w="40.0" w:type="dxa"/>
              <w:bottom w:w="40.0" w:type="dxa"/>
              <w:right w:w="40.0" w:type="dxa"/>
            </w:tcMar>
          </w:tcPr>
          <w:p w:rsidR="00000000" w:rsidDel="00000000" w:rsidP="00000000" w:rsidRDefault="00000000" w:rsidRPr="00000000" w14:paraId="00000290">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t xml:space="preserve">Volatility Projection Cone</w:t>
            </w:r>
            <w:r w:rsidDel="00000000" w:rsidR="00000000" w:rsidRPr="00000000">
              <w:rPr>
                <w:rtl w:val="0"/>
              </w:rPr>
            </w:r>
          </w:p>
        </w:tc>
        <w:tc>
          <w:tcPr>
            <w:tcMar>
              <w:top w:w="40.0" w:type="dxa"/>
              <w:left w:w="40.0" w:type="dxa"/>
              <w:bottom w:w="40.0" w:type="dxa"/>
              <w:right w:w="40.0" w:type="dxa"/>
            </w:tcMar>
          </w:tcPr>
          <w:p w:rsidR="00000000" w:rsidDel="00000000" w:rsidP="00000000" w:rsidRDefault="00000000" w:rsidRPr="00000000" w14:paraId="00000291">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92">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Volume Chart</w:t>
            </w:r>
          </w:p>
        </w:tc>
        <w:tc>
          <w:tcPr>
            <w:tcMar>
              <w:top w:w="40.0" w:type="dxa"/>
              <w:left w:w="40.0" w:type="dxa"/>
              <w:bottom w:w="40.0" w:type="dxa"/>
              <w:right w:w="40.0" w:type="dxa"/>
            </w:tcMar>
          </w:tcPr>
          <w:p w:rsidR="00000000" w:rsidDel="00000000" w:rsidP="00000000" w:rsidRDefault="00000000" w:rsidRPr="00000000" w14:paraId="00000293">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volume</w:t>
            </w:r>
          </w:p>
        </w:tc>
        <w:tc>
          <w:tcPr>
            <w:tcMar>
              <w:top w:w="40.0" w:type="dxa"/>
              <w:left w:w="40.0" w:type="dxa"/>
              <w:bottom w:w="40.0" w:type="dxa"/>
              <w:right w:w="40.0" w:type="dxa"/>
            </w:tcMar>
          </w:tcPr>
          <w:p w:rsidR="00000000" w:rsidDel="00000000" w:rsidP="00000000" w:rsidRDefault="00000000" w:rsidRPr="00000000" w14:paraId="00000294">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95">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Volume Oscillator</w:t>
            </w:r>
          </w:p>
        </w:tc>
        <w:tc>
          <w:tcPr>
            <w:tcMar>
              <w:top w:w="40.0" w:type="dxa"/>
              <w:left w:w="40.0" w:type="dxa"/>
              <w:bottom w:w="40.0" w:type="dxa"/>
              <w:right w:w="40.0" w:type="dxa"/>
            </w:tcMar>
          </w:tcPr>
          <w:p w:rsidR="00000000" w:rsidDel="00000000" w:rsidP="00000000" w:rsidRDefault="00000000" w:rsidRPr="00000000" w14:paraId="00000296">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Vol Osc</w:t>
            </w:r>
          </w:p>
        </w:tc>
        <w:tc>
          <w:tcPr>
            <w:tcMar>
              <w:top w:w="40.0" w:type="dxa"/>
              <w:left w:w="40.0" w:type="dxa"/>
              <w:bottom w:w="40.0" w:type="dxa"/>
              <w:right w:w="40.0" w:type="dxa"/>
            </w:tcMar>
          </w:tcPr>
          <w:p w:rsidR="00000000" w:rsidDel="00000000" w:rsidP="00000000" w:rsidRDefault="00000000" w:rsidRPr="00000000" w14:paraId="00000297">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98">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Volume Profile</w:t>
            </w:r>
          </w:p>
        </w:tc>
        <w:tc>
          <w:tcPr>
            <w:tcMar>
              <w:top w:w="40.0" w:type="dxa"/>
              <w:left w:w="40.0" w:type="dxa"/>
              <w:bottom w:w="40.0" w:type="dxa"/>
              <w:right w:w="40.0" w:type="dxa"/>
            </w:tcMar>
          </w:tcPr>
          <w:p w:rsidR="00000000" w:rsidDel="00000000" w:rsidP="00000000" w:rsidRDefault="00000000" w:rsidRPr="00000000" w14:paraId="00000299">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vol profile</w:t>
            </w:r>
          </w:p>
        </w:tc>
        <w:tc>
          <w:tcPr>
            <w:tcMar>
              <w:top w:w="40.0" w:type="dxa"/>
              <w:left w:w="40.0" w:type="dxa"/>
              <w:bottom w:w="40.0" w:type="dxa"/>
              <w:right w:w="40.0" w:type="dxa"/>
            </w:tcMar>
          </w:tcPr>
          <w:p w:rsidR="00000000" w:rsidDel="00000000" w:rsidP="00000000" w:rsidRDefault="00000000" w:rsidRPr="00000000" w14:paraId="0000029A">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9B">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Volume Rate of Change</w:t>
            </w:r>
          </w:p>
        </w:tc>
        <w:tc>
          <w:tcPr>
            <w:tcMar>
              <w:top w:w="40.0" w:type="dxa"/>
              <w:left w:w="40.0" w:type="dxa"/>
              <w:bottom w:w="40.0" w:type="dxa"/>
              <w:right w:w="40.0" w:type="dxa"/>
            </w:tcMar>
          </w:tcPr>
          <w:p w:rsidR="00000000" w:rsidDel="00000000" w:rsidP="00000000" w:rsidRDefault="00000000" w:rsidRPr="00000000" w14:paraId="0000029C">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Vol ROC</w:t>
            </w:r>
          </w:p>
        </w:tc>
        <w:tc>
          <w:tcPr>
            <w:tcMar>
              <w:top w:w="40.0" w:type="dxa"/>
              <w:left w:w="40.0" w:type="dxa"/>
              <w:bottom w:w="40.0" w:type="dxa"/>
              <w:right w:w="40.0" w:type="dxa"/>
            </w:tcMar>
          </w:tcPr>
          <w:p w:rsidR="00000000" w:rsidDel="00000000" w:rsidP="00000000" w:rsidRDefault="00000000" w:rsidRPr="00000000" w14:paraId="0000029D">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9E">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Volume Underlay</w:t>
            </w:r>
          </w:p>
        </w:tc>
        <w:tc>
          <w:tcPr>
            <w:tcMar>
              <w:top w:w="40.0" w:type="dxa"/>
              <w:left w:w="40.0" w:type="dxa"/>
              <w:bottom w:w="40.0" w:type="dxa"/>
              <w:right w:w="40.0" w:type="dxa"/>
            </w:tcMar>
          </w:tcPr>
          <w:p w:rsidR="00000000" w:rsidDel="00000000" w:rsidP="00000000" w:rsidRDefault="00000000" w:rsidRPr="00000000" w14:paraId="0000029F">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vol undr</w:t>
            </w:r>
          </w:p>
        </w:tc>
        <w:tc>
          <w:tcPr>
            <w:tcMar>
              <w:top w:w="40.0" w:type="dxa"/>
              <w:left w:w="40.0" w:type="dxa"/>
              <w:bottom w:w="40.0" w:type="dxa"/>
              <w:right w:w="40.0" w:type="dxa"/>
            </w:tcMar>
          </w:tcPr>
          <w:p w:rsidR="00000000" w:rsidDel="00000000" w:rsidP="00000000" w:rsidRDefault="00000000" w:rsidRPr="00000000" w14:paraId="000002A0">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A1">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Vortex Indicator</w:t>
            </w:r>
          </w:p>
        </w:tc>
        <w:tc>
          <w:tcPr>
            <w:tcMar>
              <w:top w:w="40.0" w:type="dxa"/>
              <w:left w:w="40.0" w:type="dxa"/>
              <w:bottom w:w="40.0" w:type="dxa"/>
              <w:right w:w="40.0" w:type="dxa"/>
            </w:tcMar>
          </w:tcPr>
          <w:p w:rsidR="00000000" w:rsidDel="00000000" w:rsidP="00000000" w:rsidRDefault="00000000" w:rsidRPr="00000000" w14:paraId="000002A2">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Vortex</w:t>
            </w:r>
          </w:p>
        </w:tc>
        <w:tc>
          <w:tcPr>
            <w:tcMar>
              <w:top w:w="40.0" w:type="dxa"/>
              <w:left w:w="40.0" w:type="dxa"/>
              <w:bottom w:w="40.0" w:type="dxa"/>
              <w:right w:w="40.0" w:type="dxa"/>
            </w:tcMar>
          </w:tcPr>
          <w:p w:rsidR="00000000" w:rsidDel="00000000" w:rsidP="00000000" w:rsidRDefault="00000000" w:rsidRPr="00000000" w14:paraId="000002A3">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A4">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Weighted Close</w:t>
            </w:r>
          </w:p>
        </w:tc>
        <w:tc>
          <w:tcPr>
            <w:tcMar>
              <w:top w:w="40.0" w:type="dxa"/>
              <w:left w:w="40.0" w:type="dxa"/>
              <w:bottom w:w="40.0" w:type="dxa"/>
              <w:right w:w="40.0" w:type="dxa"/>
            </w:tcMar>
          </w:tcPr>
          <w:p w:rsidR="00000000" w:rsidDel="00000000" w:rsidP="00000000" w:rsidRDefault="00000000" w:rsidRPr="00000000" w14:paraId="000002A5">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Weighted Close</w:t>
            </w:r>
          </w:p>
        </w:tc>
        <w:tc>
          <w:tcPr>
            <w:tcMar>
              <w:top w:w="40.0" w:type="dxa"/>
              <w:left w:w="40.0" w:type="dxa"/>
              <w:bottom w:w="40.0" w:type="dxa"/>
              <w:right w:w="40.0" w:type="dxa"/>
            </w:tcMar>
          </w:tcPr>
          <w:p w:rsidR="00000000" w:rsidDel="00000000" w:rsidP="00000000" w:rsidRDefault="00000000" w:rsidRPr="00000000" w14:paraId="000002A6">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A7">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Williams %R</w:t>
            </w:r>
          </w:p>
        </w:tc>
        <w:tc>
          <w:tcPr>
            <w:tcMar>
              <w:top w:w="40.0" w:type="dxa"/>
              <w:left w:w="40.0" w:type="dxa"/>
              <w:bottom w:w="40.0" w:type="dxa"/>
              <w:right w:w="40.0" w:type="dxa"/>
            </w:tcMar>
          </w:tcPr>
          <w:p w:rsidR="00000000" w:rsidDel="00000000" w:rsidP="00000000" w:rsidRDefault="00000000" w:rsidRPr="00000000" w14:paraId="000002A8">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Williams %R</w:t>
            </w:r>
          </w:p>
        </w:tc>
        <w:tc>
          <w:tcPr>
            <w:tcMar>
              <w:top w:w="40.0" w:type="dxa"/>
              <w:left w:w="40.0" w:type="dxa"/>
              <w:bottom w:w="40.0" w:type="dxa"/>
              <w:right w:w="40.0" w:type="dxa"/>
            </w:tcMar>
          </w:tcPr>
          <w:p w:rsidR="00000000" w:rsidDel="00000000" w:rsidP="00000000" w:rsidRDefault="00000000" w:rsidRPr="00000000" w14:paraId="000002A9">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r>
        <w:trPr>
          <w:cantSplit w:val="0"/>
          <w:tblHeader w:val="0"/>
        </w:trPr>
        <w:tc>
          <w:tcPr>
            <w:tcMar>
              <w:top w:w="40.0" w:type="dxa"/>
              <w:left w:w="40.0" w:type="dxa"/>
              <w:bottom w:w="40.0" w:type="dxa"/>
              <w:right w:w="40.0" w:type="dxa"/>
            </w:tcMar>
          </w:tcPr>
          <w:p w:rsidR="00000000" w:rsidDel="00000000" w:rsidP="00000000" w:rsidRDefault="00000000" w:rsidRPr="00000000" w14:paraId="000002AA">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ZigZag</w:t>
            </w:r>
          </w:p>
        </w:tc>
        <w:tc>
          <w:tcPr>
            <w:tcMar>
              <w:top w:w="40.0" w:type="dxa"/>
              <w:left w:w="40.0" w:type="dxa"/>
              <w:bottom w:w="40.0" w:type="dxa"/>
              <w:right w:w="40.0" w:type="dxa"/>
            </w:tcMar>
          </w:tcPr>
          <w:p w:rsidR="00000000" w:rsidDel="00000000" w:rsidP="00000000" w:rsidRDefault="00000000" w:rsidRPr="00000000" w14:paraId="000002AB">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color w:val="000000"/>
                <w:rtl w:val="0"/>
              </w:rPr>
              <w:t xml:space="preserve">ZigZag</w:t>
            </w:r>
          </w:p>
        </w:tc>
        <w:tc>
          <w:tcPr>
            <w:tcMar>
              <w:top w:w="40.0" w:type="dxa"/>
              <w:left w:w="40.0" w:type="dxa"/>
              <w:bottom w:w="40.0" w:type="dxa"/>
              <w:right w:w="40.0" w:type="dxa"/>
            </w:tcMar>
          </w:tcPr>
          <w:p w:rsidR="00000000" w:rsidDel="00000000" w:rsidP="00000000" w:rsidRDefault="00000000" w:rsidRPr="00000000" w14:paraId="000002AC">
            <w:pPr>
              <w:pBdr>
                <w:top w:space="0" w:sz="0" w:val="nil"/>
                <w:left w:space="0" w:sz="0" w:val="nil"/>
                <w:bottom w:space="0" w:sz="0" w:val="nil"/>
                <w:right w:space="0" w:sz="0" w:val="nil"/>
                <w:between w:space="0" w:sz="0" w:val="nil"/>
              </w:pBdr>
              <w:spacing w:after="80" w:before="80" w:lineRule="auto"/>
              <w:rPr>
                <w:color w:val="000000"/>
              </w:rPr>
            </w:pPr>
            <w:r w:rsidDel="00000000" w:rsidR="00000000" w:rsidRPr="00000000">
              <w:rPr>
                <w:rtl w:val="0"/>
              </w:rPr>
            </w:r>
          </w:p>
        </w:tc>
      </w:tr>
    </w:tbl>
    <w:p w:rsidR="00000000" w:rsidDel="00000000" w:rsidP="00000000" w:rsidRDefault="00000000" w:rsidRPr="00000000" w14:paraId="000002AD">
      <w:pPr>
        <w:rPr/>
      </w:pPr>
      <w:bookmarkStart w:colFirst="0" w:colLast="0" w:name="_heading=h.3l18frh" w:id="54"/>
      <w:bookmarkEnd w:id="54"/>
      <w:r w:rsidDel="00000000" w:rsidR="00000000" w:rsidRPr="00000000">
        <w:rPr>
          <w:rtl w:val="0"/>
        </w:rPr>
      </w:r>
    </w:p>
    <w:sectPr>
      <w:footerReference r:id="rId46" w:type="default"/>
      <w:footerReference r:id="rId47" w:type="first"/>
      <w:type w:val="nextPage"/>
      <w:pgSz w:h="15840" w:w="12240" w:orient="portrait"/>
      <w:pgMar w:bottom="1440" w:top="2160" w:left="1440" w:right="1440" w:header="720" w:footer="50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0">
    <w:pPr>
      <w:pBdr>
        <w:top w:color="3b7262" w:space="1" w:sz="12" w:val="single"/>
        <w:left w:space="0" w:sz="0" w:val="nil"/>
        <w:bottom w:space="0" w:sz="0" w:val="nil"/>
        <w:right w:space="0" w:sz="0" w:val="nil"/>
        <w:between w:space="0" w:sz="0" w:val="nil"/>
      </w:pBdr>
      <w:tabs>
        <w:tab w:val="center" w:pos="4680"/>
        <w:tab w:val="right" w:pos="9360"/>
      </w:tabs>
      <w:spacing w:after="0" w:lineRule="auto"/>
      <w:rPr>
        <w:color w:val="000000"/>
        <w:sz w:val="20"/>
        <w:szCs w:val="20"/>
      </w:rPr>
    </w:pPr>
    <w:r w:rsidDel="00000000" w:rsidR="00000000" w:rsidRPr="00000000">
      <w:rPr>
        <w:color w:val="000000"/>
        <w:sz w:val="20"/>
        <w:szCs w:val="20"/>
        <w:rtl w:val="0"/>
      </w:rPr>
      <w:t xml:space="preserve">609 E Market St, Suite 111</w:t>
      <w:tab/>
      <w:tab/>
      <w:t xml:space="preserve">info@cosaic.io</w:t>
    </w:r>
  </w:p>
  <w:p w:rsidR="00000000" w:rsidDel="00000000" w:rsidP="00000000" w:rsidRDefault="00000000" w:rsidRPr="00000000" w14:paraId="000002B1">
    <w:pPr>
      <w:pBdr>
        <w:top w:space="0" w:sz="0" w:val="nil"/>
        <w:left w:space="0" w:sz="0" w:val="nil"/>
        <w:bottom w:space="0" w:sz="0" w:val="nil"/>
        <w:right w:space="0" w:sz="0" w:val="nil"/>
        <w:between w:space="0" w:sz="0" w:val="nil"/>
      </w:pBdr>
      <w:tabs>
        <w:tab w:val="center" w:pos="4680"/>
        <w:tab w:val="right" w:pos="9360"/>
      </w:tabs>
      <w:spacing w:after="0" w:lineRule="auto"/>
      <w:rPr>
        <w:color w:val="000000"/>
        <w:sz w:val="20"/>
        <w:szCs w:val="20"/>
      </w:rPr>
    </w:pPr>
    <w:r w:rsidDel="00000000" w:rsidR="00000000" w:rsidRPr="00000000">
      <w:rPr>
        <w:color w:val="000000"/>
        <w:sz w:val="20"/>
        <w:szCs w:val="20"/>
        <w:rtl w:val="0"/>
      </w:rPr>
      <w:t xml:space="preserve">Charlottesville, VA 22902</w:t>
      <w:tab/>
      <w:tab/>
      <w:t xml:space="preserve">+1 800 821 8147</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2">
    <w:pPr>
      <w:pBdr>
        <w:top w:color="3b7262" w:space="1" w:sz="12" w:val="single"/>
        <w:left w:space="0" w:sz="0" w:val="nil"/>
        <w:bottom w:space="0" w:sz="0" w:val="nil"/>
        <w:right w:space="0" w:sz="0" w:val="nil"/>
        <w:between w:space="0" w:sz="0" w:val="nil"/>
      </w:pBdr>
      <w:tabs>
        <w:tab w:val="center" w:pos="4680"/>
        <w:tab w:val="right" w:pos="9360"/>
      </w:tabs>
      <w:spacing w:after="0" w:lineRule="auto"/>
      <w:rPr>
        <w:color w:val="000000"/>
        <w:sz w:val="20"/>
        <w:szCs w:val="20"/>
      </w:rPr>
    </w:pPr>
    <w:r w:rsidDel="00000000" w:rsidR="00000000" w:rsidRPr="00000000">
      <w:rPr>
        <w:color w:val="000000"/>
        <w:sz w:val="20"/>
        <w:szCs w:val="20"/>
        <w:rtl w:val="0"/>
      </w:rPr>
      <w:t xml:space="preserve">Charts and Studies Guide</w:t>
      <w:tab/>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4">
    <w:pPr>
      <w:pBdr>
        <w:top w:space="0" w:sz="0" w:val="nil"/>
        <w:left w:space="0" w:sz="0" w:val="nil"/>
        <w:bottom w:space="0" w:sz="0" w:val="nil"/>
        <w:right w:space="0" w:sz="0" w:val="nil"/>
        <w:between w:space="0" w:sz="0" w:val="nil"/>
      </w:pBdr>
      <w:tabs>
        <w:tab w:val="right" w:pos="9360"/>
      </w:tabs>
      <w:spacing w:before="360" w:lineRule="auto"/>
      <w:rPr>
        <w:color w:val="000000"/>
      </w:rPr>
    </w:pPr>
    <w:r w:rsidDel="00000000" w:rsidR="00000000" w:rsidRPr="00000000">
      <w:rPr>
        <w:sz w:val="20"/>
        <w:szCs w:val="20"/>
      </w:rPr>
      <w:drawing>
        <wp:inline distB="114300" distT="114300" distL="114300" distR="114300">
          <wp:extent cx="5943600" cy="25400"/>
          <wp:effectExtent b="0" l="0" r="0" t="0"/>
          <wp:docPr id="319" name="image16.png"/>
          <a:graphic>
            <a:graphicData uri="http://schemas.openxmlformats.org/drawingml/2006/picture">
              <pic:pic>
                <pic:nvPicPr>
                  <pic:cNvPr id="0" name="image16.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t xml:space="preserve"> HTML5 Charting Library User Guide</w:t>
      <w:tab/>
    </w:r>
    <w:r w:rsidDel="00000000" w:rsidR="00000000" w:rsidRPr="00000000">
      <w:rPr/>
      <w:fldChar w:fldCharType="begin"/>
      <w:instrText xml:space="preserve">PAGE</w:instrText>
      <w:fldChar w:fldCharType="separate"/>
      <w:fldChar w:fldCharType="end"/>
    </w:r>
    <w:r w:rsidDel="00000000" w:rsidR="00000000" w:rsidRPr="00000000">
      <w:rPr>
        <w:color w:val="000000"/>
        <w:rtl w:val="0"/>
      </w:rPr>
      <w:t xml:space="preserve"> of </w:t>
    </w:r>
    <w:r w:rsidDel="00000000" w:rsidR="00000000" w:rsidRPr="00000000">
      <w:rPr>
        <w:color w:val="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B5">
    <w:pPr>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6">
    <w:pPr>
      <w:pBdr>
        <w:top w:color="3b7262" w:space="1" w:sz="12" w:val="single"/>
        <w:left w:space="0" w:sz="0" w:val="nil"/>
        <w:bottom w:space="0" w:sz="0" w:val="nil"/>
        <w:right w:space="0" w:sz="0" w:val="nil"/>
        <w:between w:space="0" w:sz="0" w:val="nil"/>
      </w:pBdr>
      <w:tabs>
        <w:tab w:val="center" w:pos="4680"/>
        <w:tab w:val="right" w:pos="9360"/>
      </w:tabs>
      <w:spacing w:after="0" w:lineRule="auto"/>
      <w:rPr>
        <w:color w:val="000000"/>
        <w:sz w:val="20"/>
        <w:szCs w:val="20"/>
      </w:rPr>
    </w:pPr>
    <w:r w:rsidDel="00000000" w:rsidR="00000000" w:rsidRPr="00000000">
      <w:rPr>
        <w:color w:val="000000"/>
        <w:sz w:val="20"/>
        <w:szCs w:val="20"/>
        <w:rtl w:val="0"/>
      </w:rPr>
      <w:t xml:space="preserve">Charts and Studies Guide</w:t>
      <w:tab/>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color w:val="000000"/>
        <w:sz w:val="20"/>
        <w:szCs w:val="20"/>
        <w:rtl w:val="0"/>
      </w:rPr>
      <w:t xml:space="preserve"> of 38</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E">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-118743</wp:posOffset>
          </wp:positionH>
          <wp:positionV relativeFrom="paragraph">
            <wp:posOffset>155575</wp:posOffset>
          </wp:positionV>
          <wp:extent cx="2112264" cy="420624"/>
          <wp:effectExtent b="0" l="0" r="0" t="0"/>
          <wp:wrapSquare wrapText="bothSides" distB="0" distT="0" distL="0" distR="0"/>
          <wp:docPr descr="A picture containing drawing&#10;&#10;Description automatically generated" id="316" name="image1.png"/>
          <a:graphic>
            <a:graphicData uri="http://schemas.openxmlformats.org/drawingml/2006/picture">
              <pic:pic>
                <pic:nvPicPr>
                  <pic:cNvPr descr="A picture containing drawing&#10;&#10;Description automatically generated" id="0" name="image1.png"/>
                  <pic:cNvPicPr preferRelativeResize="0"/>
                </pic:nvPicPr>
                <pic:blipFill>
                  <a:blip r:embed="rId1"/>
                  <a:srcRect b="0" l="0" r="0" t="0"/>
                  <a:stretch>
                    <a:fillRect/>
                  </a:stretch>
                </pic:blipFill>
                <pic:spPr>
                  <a:xfrm>
                    <a:off x="0" y="0"/>
                    <a:ext cx="2112264" cy="420624"/>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F">
    <w:pPr>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517904" cy="658368"/>
          <wp:effectExtent b="0" l="0" r="0" t="0"/>
          <wp:wrapSquare wrapText="bothSides" distB="0" distT="0" distL="0" distR="0"/>
          <wp:docPr descr="A close up of a sign&#10;&#10;Description automatically generated" id="317" name="image2.png"/>
          <a:graphic>
            <a:graphicData uri="http://schemas.openxmlformats.org/drawingml/2006/picture">
              <pic:pic>
                <pic:nvPicPr>
                  <pic:cNvPr descr="A close up of a sign&#10;&#10;Description automatically generated" id="0" name="image2.png"/>
                  <pic:cNvPicPr preferRelativeResize="0"/>
                </pic:nvPicPr>
                <pic:blipFill>
                  <a:blip r:embed="rId1"/>
                  <a:srcRect b="0" l="0" r="0" t="0"/>
                  <a:stretch>
                    <a:fillRect/>
                  </a:stretch>
                </pic:blipFill>
                <pic:spPr>
                  <a:xfrm>
                    <a:off x="0" y="0"/>
                    <a:ext cx="1517904" cy="65836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bullet"/>
      <w:lvlText w:val="o"/>
      <w:lvlJc w:val="left"/>
      <w:pPr>
        <w:ind w:left="720" w:hanging="360"/>
      </w:pPr>
      <w:rPr>
        <w:rFonts w:ascii="Courier New" w:cs="Courier New" w:eastAsia="Courier New" w:hAnsi="Courier New"/>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sz w:val="22"/>
        <w:szCs w:val="22"/>
        <w:lang w:val="en-US"/>
      </w:rPr>
    </w:rPrDefault>
    <w:pPrDefault>
      <w:pPr>
        <w:spacing w:after="24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color w:val="3b7262"/>
      <w:sz w:val="36"/>
      <w:szCs w:val="36"/>
    </w:rPr>
  </w:style>
  <w:style w:type="paragraph" w:styleId="Heading2">
    <w:name w:val="heading 2"/>
    <w:basedOn w:val="Normal"/>
    <w:next w:val="Normal"/>
    <w:pPr>
      <w:keepNext w:val="1"/>
      <w:keepLines w:val="1"/>
      <w:spacing w:before="480" w:lineRule="auto"/>
    </w:pPr>
    <w:rPr>
      <w:color w:val="3b7262"/>
      <w:sz w:val="28"/>
      <w:szCs w:val="28"/>
    </w:rPr>
  </w:style>
  <w:style w:type="paragraph" w:styleId="Heading3">
    <w:name w:val="heading 3"/>
    <w:basedOn w:val="Normal"/>
    <w:next w:val="Normal"/>
    <w:pPr>
      <w:keepNext w:val="1"/>
      <w:keepLines w:val="1"/>
      <w:spacing w:before="480" w:lineRule="auto"/>
    </w:pPr>
    <w:rPr>
      <w:color w:val="3b7262"/>
      <w:sz w:val="24"/>
      <w:szCs w:val="24"/>
    </w:rPr>
  </w:style>
  <w:style w:type="paragraph" w:styleId="Heading4">
    <w:name w:val="heading 4"/>
    <w:basedOn w:val="Normal"/>
    <w:next w:val="Normal"/>
    <w:pPr>
      <w:keepNext w:val="1"/>
      <w:keepLines w:val="1"/>
      <w:spacing w:after="80" w:before="40" w:lineRule="auto"/>
    </w:pPr>
    <w:rPr>
      <w:b w:val="1"/>
    </w:rPr>
  </w:style>
  <w:style w:type="paragraph" w:styleId="Heading5">
    <w:name w:val="heading 5"/>
    <w:basedOn w:val="Normal"/>
    <w:next w:val="Normal"/>
    <w:pPr>
      <w:keepNext w:val="1"/>
      <w:keepLines w:val="1"/>
      <w:spacing w:before="40" w:lineRule="auto"/>
    </w:pPr>
    <w:rPr>
      <w:rFonts w:ascii="Calibri" w:cs="Calibri" w:eastAsia="Calibri" w:hAnsi="Calibri"/>
      <w:color w:val="2e74b5"/>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sz w:val="52"/>
      <w:szCs w:val="52"/>
    </w:rPr>
  </w:style>
  <w:style w:type="paragraph" w:styleId="Normal" w:default="1">
    <w:name w:val="Normal"/>
    <w:qFormat w:val="1"/>
    <w:rsid w:val="00346D6D"/>
  </w:style>
  <w:style w:type="paragraph" w:styleId="Heading1">
    <w:name w:val="heading 1"/>
    <w:basedOn w:val="Normal"/>
    <w:next w:val="Normal"/>
    <w:uiPriority w:val="9"/>
    <w:qFormat w:val="1"/>
    <w:rsid w:val="00ED7862"/>
    <w:pPr>
      <w:keepNext w:val="1"/>
      <w:keepLines w:val="1"/>
      <w:spacing w:before="480"/>
      <w:outlineLvl w:val="0"/>
    </w:pPr>
    <w:rPr>
      <w:color w:val="3b7262"/>
      <w:sz w:val="36"/>
      <w:szCs w:val="36"/>
    </w:rPr>
  </w:style>
  <w:style w:type="paragraph" w:styleId="Heading2">
    <w:name w:val="heading 2"/>
    <w:basedOn w:val="Heading1"/>
    <w:next w:val="Normal"/>
    <w:uiPriority w:val="9"/>
    <w:unhideWhenUsed w:val="1"/>
    <w:qFormat w:val="1"/>
    <w:rsid w:val="00995273"/>
    <w:pPr>
      <w:outlineLvl w:val="1"/>
    </w:pPr>
    <w:rPr>
      <w:sz w:val="28"/>
      <w:szCs w:val="28"/>
    </w:rPr>
  </w:style>
  <w:style w:type="paragraph" w:styleId="Heading3">
    <w:name w:val="heading 3"/>
    <w:basedOn w:val="Heading2"/>
    <w:next w:val="Normal"/>
    <w:uiPriority w:val="9"/>
    <w:unhideWhenUsed w:val="1"/>
    <w:qFormat w:val="1"/>
    <w:rsid w:val="00995273"/>
    <w:pPr>
      <w:outlineLvl w:val="2"/>
    </w:pPr>
    <w:rPr>
      <w:sz w:val="24"/>
      <w:szCs w:val="24"/>
    </w:rPr>
  </w:style>
  <w:style w:type="paragraph" w:styleId="Heading4">
    <w:name w:val="heading 4"/>
    <w:basedOn w:val="Normal"/>
    <w:next w:val="Normal"/>
    <w:uiPriority w:val="9"/>
    <w:semiHidden w:val="1"/>
    <w:unhideWhenUsed w:val="1"/>
    <w:qFormat w:val="1"/>
    <w:pPr>
      <w:keepNext w:val="1"/>
      <w:keepLines w:val="1"/>
      <w:spacing w:after="80" w:before="40"/>
      <w:outlineLvl w:val="3"/>
    </w:pPr>
    <w:rPr>
      <w:b w:val="1"/>
    </w:rPr>
  </w:style>
  <w:style w:type="paragraph" w:styleId="Heading5">
    <w:name w:val="heading 5"/>
    <w:basedOn w:val="Normal"/>
    <w:next w:val="Normal"/>
    <w:uiPriority w:val="9"/>
    <w:semiHidden w:val="1"/>
    <w:unhideWhenUsed w:val="1"/>
    <w:qFormat w:val="1"/>
    <w:pPr>
      <w:keepNext w:val="1"/>
      <w:keepLines w:val="1"/>
      <w:spacing w:before="40"/>
      <w:outlineLvl w:val="4"/>
    </w:pPr>
    <w:rPr>
      <w:rFonts w:ascii="Calibri" w:cs="Calibri" w:eastAsia="Calibri" w:hAnsi="Calibri"/>
      <w:color w:val="2e74b5"/>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jc w:val="center"/>
    </w:pPr>
    <w:rPr>
      <w:sz w:val="52"/>
      <w:szCs w:val="52"/>
    </w:rPr>
  </w:style>
  <w:style w:type="paragraph" w:styleId="Subtitle">
    <w:name w:val="Subtitle"/>
    <w:basedOn w:val="Normal"/>
    <w:next w:val="Normal"/>
    <w:uiPriority w:val="11"/>
    <w:qFormat w:val="1"/>
    <w:pPr>
      <w:spacing w:after="160"/>
    </w:pPr>
    <w:rPr>
      <w:rFonts w:ascii="Calibri" w:cs="Calibri" w:eastAsia="Calibri" w:hAnsi="Calibri"/>
      <w:color w:val="5a5a5a"/>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TOCHeading">
    <w:name w:val="TOC Heading"/>
    <w:basedOn w:val="Heading1"/>
    <w:next w:val="Normal"/>
    <w:uiPriority w:val="39"/>
    <w:unhideWhenUsed w:val="1"/>
    <w:rsid w:val="00590238"/>
    <w:pPr>
      <w:spacing w:after="0" w:before="240" w:line="259" w:lineRule="auto"/>
      <w:outlineLvl w:val="9"/>
    </w:pPr>
    <w:rPr>
      <w:rFonts w:asciiTheme="majorHAnsi" w:cstheme="majorBidi" w:eastAsiaTheme="majorEastAsia" w:hAnsiTheme="majorHAnsi"/>
      <w:color w:val="365f91" w:themeColor="accent1" w:themeShade="0000BF"/>
      <w:sz w:val="32"/>
      <w:szCs w:val="32"/>
    </w:rPr>
  </w:style>
  <w:style w:type="paragraph" w:styleId="TOC1">
    <w:name w:val="toc 1"/>
    <w:basedOn w:val="Normal"/>
    <w:next w:val="Normal"/>
    <w:autoRedefine w:val="1"/>
    <w:uiPriority w:val="39"/>
    <w:unhideWhenUsed w:val="1"/>
    <w:rsid w:val="00590238"/>
    <w:pPr>
      <w:tabs>
        <w:tab w:val="right" w:leader="dot" w:pos="9350"/>
      </w:tabs>
      <w:spacing w:after="100"/>
    </w:pPr>
  </w:style>
  <w:style w:type="paragraph" w:styleId="TOC2">
    <w:name w:val="toc 2"/>
    <w:basedOn w:val="Normal"/>
    <w:next w:val="Normal"/>
    <w:autoRedefine w:val="1"/>
    <w:uiPriority w:val="39"/>
    <w:unhideWhenUsed w:val="1"/>
    <w:rsid w:val="00590238"/>
    <w:pPr>
      <w:spacing w:after="100"/>
      <w:ind w:left="220"/>
    </w:pPr>
  </w:style>
  <w:style w:type="paragraph" w:styleId="TOC3">
    <w:name w:val="toc 3"/>
    <w:basedOn w:val="Normal"/>
    <w:next w:val="Normal"/>
    <w:autoRedefine w:val="1"/>
    <w:uiPriority w:val="39"/>
    <w:unhideWhenUsed w:val="1"/>
    <w:rsid w:val="00590238"/>
    <w:pPr>
      <w:spacing w:after="100"/>
      <w:ind w:left="440"/>
    </w:pPr>
  </w:style>
  <w:style w:type="character" w:styleId="Hyperlink">
    <w:name w:val="Hyperlink"/>
    <w:basedOn w:val="DefaultParagraphFont"/>
    <w:uiPriority w:val="99"/>
    <w:unhideWhenUsed w:val="1"/>
    <w:rsid w:val="00590238"/>
    <w:rPr>
      <w:color w:val="0000ff" w:themeColor="hyperlink"/>
      <w:u w:val="single"/>
    </w:rPr>
  </w:style>
  <w:style w:type="paragraph" w:styleId="HeadingFrontMatter" w:customStyle="1">
    <w:name w:val="Heading Front Matter"/>
    <w:basedOn w:val="Heading1"/>
    <w:qFormat w:val="1"/>
    <w:rsid w:val="005B5A25"/>
    <w:pPr>
      <w:outlineLvl w:val="9"/>
    </w:pPr>
  </w:style>
  <w:style w:type="paragraph" w:styleId="Header">
    <w:name w:val="header"/>
    <w:basedOn w:val="Normal"/>
    <w:link w:val="HeaderChar"/>
    <w:uiPriority w:val="99"/>
    <w:unhideWhenUsed w:val="1"/>
    <w:rsid w:val="00C147F5"/>
    <w:pPr>
      <w:tabs>
        <w:tab w:val="center" w:pos="4680"/>
        <w:tab w:val="right" w:pos="9360"/>
      </w:tabs>
    </w:pPr>
  </w:style>
  <w:style w:type="character" w:styleId="HeaderChar" w:customStyle="1">
    <w:name w:val="Header Char"/>
    <w:basedOn w:val="DefaultParagraphFont"/>
    <w:link w:val="Header"/>
    <w:uiPriority w:val="99"/>
    <w:rsid w:val="00C147F5"/>
  </w:style>
  <w:style w:type="paragraph" w:styleId="Footer">
    <w:name w:val="footer"/>
    <w:basedOn w:val="Normal"/>
    <w:link w:val="FooterChar"/>
    <w:uiPriority w:val="99"/>
    <w:unhideWhenUsed w:val="1"/>
    <w:rsid w:val="00362AFC"/>
    <w:pPr>
      <w:tabs>
        <w:tab w:val="center" w:pos="4680"/>
        <w:tab w:val="right" w:pos="9360"/>
      </w:tabs>
      <w:spacing w:after="0"/>
    </w:pPr>
    <w:rPr>
      <w:sz w:val="20"/>
    </w:rPr>
  </w:style>
  <w:style w:type="character" w:styleId="FooterChar" w:customStyle="1">
    <w:name w:val="Footer Char"/>
    <w:basedOn w:val="DefaultParagraphFont"/>
    <w:link w:val="Footer"/>
    <w:uiPriority w:val="99"/>
    <w:rsid w:val="00362AFC"/>
    <w:rPr>
      <w:sz w:val="20"/>
    </w:rPr>
  </w:style>
  <w:style w:type="paragraph" w:styleId="Figure" w:customStyle="1">
    <w:name w:val="Figure"/>
    <w:basedOn w:val="Normal"/>
    <w:qFormat w:val="1"/>
    <w:rsid w:val="00862699"/>
    <w:pPr>
      <w:spacing w:before="80"/>
    </w:pPr>
    <w:rPr>
      <w:i w:val="1"/>
      <w:sz w:val="18"/>
      <w:szCs w:val="18"/>
    </w:rPr>
  </w:style>
  <w:style w:type="paragraph" w:styleId="Image" w:customStyle="1">
    <w:name w:val="Image"/>
    <w:basedOn w:val="Normal"/>
    <w:next w:val="Figure"/>
    <w:qFormat w:val="1"/>
    <w:rsid w:val="00130DED"/>
    <w:pPr>
      <w:spacing w:after="0"/>
    </w:pPr>
    <w:rPr>
      <w:noProof w:val="1"/>
    </w:rPr>
  </w:style>
  <w:style w:type="paragraph" w:styleId="ListParagraph">
    <w:name w:val="List Paragraph"/>
    <w:basedOn w:val="Normal"/>
    <w:uiPriority w:val="34"/>
    <w:rsid w:val="00BB0202"/>
    <w:pPr>
      <w:numPr>
        <w:numId w:val="5"/>
      </w:numPr>
      <w:spacing w:after="120"/>
    </w:pPr>
  </w:style>
  <w:style w:type="paragraph" w:styleId="BullettedListLast" w:customStyle="1">
    <w:name w:val="Bulletted List Last"/>
    <w:basedOn w:val="ListParagraph"/>
    <w:rsid w:val="00BB0202"/>
    <w:pPr>
      <w:numPr>
        <w:numId w:val="0"/>
      </w:numPr>
      <w:tabs>
        <w:tab w:val="num" w:pos="720"/>
      </w:tabs>
      <w:spacing w:after="240"/>
      <w:ind w:left="720" w:hanging="720"/>
    </w:pPr>
  </w:style>
  <w:style w:type="paragraph" w:styleId="ListBullet">
    <w:name w:val="List Bullet"/>
    <w:basedOn w:val="Normal"/>
    <w:uiPriority w:val="99"/>
    <w:unhideWhenUsed w:val="1"/>
    <w:qFormat w:val="1"/>
    <w:rsid w:val="00072723"/>
    <w:pPr>
      <w:tabs>
        <w:tab w:val="num" w:pos="720"/>
      </w:tabs>
      <w:spacing w:after="120"/>
      <w:ind w:left="720" w:hanging="720"/>
    </w:pPr>
  </w:style>
  <w:style w:type="paragraph" w:styleId="ListBullet2">
    <w:name w:val="List Bullet 2"/>
    <w:basedOn w:val="Normal"/>
    <w:uiPriority w:val="99"/>
    <w:unhideWhenUsed w:val="1"/>
    <w:qFormat w:val="1"/>
    <w:rsid w:val="00072723"/>
    <w:pPr>
      <w:tabs>
        <w:tab w:val="num" w:pos="720"/>
      </w:tabs>
      <w:spacing w:after="120"/>
      <w:ind w:left="720" w:hanging="720"/>
    </w:pPr>
  </w:style>
  <w:style w:type="paragraph" w:styleId="ListBulletLast" w:customStyle="1">
    <w:name w:val="List Bullet Last"/>
    <w:basedOn w:val="ListBullet"/>
    <w:qFormat w:val="1"/>
    <w:rsid w:val="00696237"/>
    <w:pPr>
      <w:spacing w:after="240"/>
    </w:pPr>
  </w:style>
  <w:style w:type="paragraph" w:styleId="NormalList" w:customStyle="1">
    <w:name w:val="Normal List"/>
    <w:basedOn w:val="Normal"/>
    <w:qFormat w:val="1"/>
    <w:rsid w:val="009B477A"/>
    <w:pPr>
      <w:spacing w:after="120"/>
    </w:pPr>
    <w:rPr>
      <w:shd w:color="auto" w:fill="fefefe" w:val="clear"/>
    </w:rPr>
  </w:style>
  <w:style w:type="paragraph" w:styleId="ListBullet3">
    <w:name w:val="List Bullet 3"/>
    <w:basedOn w:val="Normal"/>
    <w:uiPriority w:val="99"/>
    <w:unhideWhenUsed w:val="1"/>
    <w:rsid w:val="009B477A"/>
    <w:pPr>
      <w:tabs>
        <w:tab w:val="num" w:pos="720"/>
      </w:tabs>
      <w:ind w:left="720" w:hanging="720"/>
      <w:contextualSpacing w:val="1"/>
    </w:pPr>
  </w:style>
  <w:style w:type="paragraph" w:styleId="ListBullet4">
    <w:name w:val="List Bullet 4"/>
    <w:basedOn w:val="Normal"/>
    <w:uiPriority w:val="99"/>
    <w:unhideWhenUsed w:val="1"/>
    <w:rsid w:val="009B477A"/>
    <w:pPr>
      <w:tabs>
        <w:tab w:val="num" w:pos="720"/>
      </w:tabs>
      <w:ind w:left="720" w:hanging="720"/>
      <w:contextualSpacing w:val="1"/>
    </w:pPr>
  </w:style>
  <w:style w:type="paragraph" w:styleId="TableHeading" w:customStyle="1">
    <w:name w:val="Table Heading"/>
    <w:basedOn w:val="Normal"/>
    <w:qFormat w:val="1"/>
    <w:rsid w:val="00A23671"/>
    <w:pPr>
      <w:spacing w:after="80"/>
    </w:pPr>
    <w:rPr>
      <w:b w:val="1"/>
    </w:rPr>
  </w:style>
  <w:style w:type="paragraph" w:styleId="TableText" w:customStyle="1">
    <w:name w:val="Table Text"/>
    <w:basedOn w:val="Normal"/>
    <w:qFormat w:val="1"/>
    <w:rsid w:val="00A23671"/>
    <w:pPr>
      <w:spacing w:after="80" w:before="80"/>
    </w:pPr>
  </w:style>
  <w:style w:type="paragraph" w:styleId="List">
    <w:name w:val="List"/>
    <w:basedOn w:val="Normal"/>
    <w:uiPriority w:val="99"/>
    <w:unhideWhenUsed w:val="1"/>
    <w:rsid w:val="00346D6D"/>
    <w:pPr>
      <w:ind w:left="360" w:hanging="360"/>
      <w:contextualSpacing w:val="1"/>
    </w:pPr>
  </w:style>
  <w:style w:type="paragraph" w:styleId="List2">
    <w:name w:val="List 2"/>
    <w:basedOn w:val="Normal"/>
    <w:uiPriority w:val="99"/>
    <w:unhideWhenUsed w:val="1"/>
    <w:rsid w:val="00346D6D"/>
    <w:pPr>
      <w:ind w:left="720" w:hanging="360"/>
      <w:contextualSpacing w:val="1"/>
    </w:pPr>
  </w:style>
  <w:style w:type="paragraph" w:styleId="ListNumber">
    <w:name w:val="List Number"/>
    <w:basedOn w:val="Normal"/>
    <w:uiPriority w:val="99"/>
    <w:unhideWhenUsed w:val="1"/>
    <w:qFormat w:val="1"/>
    <w:rsid w:val="00696237"/>
    <w:pPr>
      <w:keepNext w:val="1"/>
      <w:tabs>
        <w:tab w:val="num" w:pos="720"/>
      </w:tabs>
      <w:spacing w:after="120"/>
      <w:ind w:left="720" w:hanging="720"/>
    </w:pPr>
  </w:style>
  <w:style w:type="paragraph" w:styleId="ListNumberLast" w:customStyle="1">
    <w:name w:val="List Number Last"/>
    <w:basedOn w:val="ListNumber"/>
    <w:qFormat w:val="1"/>
    <w:rsid w:val="00696237"/>
    <w:pPr>
      <w:keepNext w:val="0"/>
      <w:spacing w:after="240"/>
    </w:pPr>
  </w:style>
  <w:style w:type="character" w:styleId="UnresolvedMention">
    <w:name w:val="Unresolved Mention"/>
    <w:basedOn w:val="DefaultParagraphFont"/>
    <w:uiPriority w:val="99"/>
    <w:semiHidden w:val="1"/>
    <w:unhideWhenUsed w:val="1"/>
    <w:rsid w:val="003E3859"/>
    <w:rPr>
      <w:color w:val="605e5c"/>
      <w:shd w:color="auto" w:fill="e1dfdd" w:val="clear"/>
    </w:rPr>
  </w:style>
  <w:style w:type="character" w:styleId="FollowedHyperlink">
    <w:name w:val="FollowedHyperlink"/>
    <w:basedOn w:val="DefaultParagraphFont"/>
    <w:uiPriority w:val="99"/>
    <w:semiHidden w:val="1"/>
    <w:unhideWhenUsed w:val="1"/>
    <w:rsid w:val="00766EB6"/>
    <w:rPr>
      <w:color w:val="800080" w:themeColor="followedHyperlink"/>
      <w:u w:val="single"/>
    </w:rPr>
  </w:style>
  <w:style w:type="paragraph" w:styleId="BalloonText">
    <w:name w:val="Balloon Text"/>
    <w:basedOn w:val="Normal"/>
    <w:link w:val="BalloonTextChar"/>
    <w:uiPriority w:val="99"/>
    <w:semiHidden w:val="1"/>
    <w:unhideWhenUsed w:val="1"/>
    <w:rsid w:val="00531435"/>
    <w:pPr>
      <w:spacing w:after="0"/>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531435"/>
    <w:rPr>
      <w:rFonts w:ascii="Segoe UI" w:cs="Segoe UI" w:hAnsi="Segoe UI"/>
      <w:sz w:val="18"/>
      <w:szCs w:val="18"/>
    </w:rPr>
  </w:style>
  <w:style w:type="table" w:styleId="a0"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spacing w:after="160" w:lineRule="auto"/>
    </w:pPr>
    <w:rPr>
      <w:rFonts w:ascii="Calibri" w:cs="Calibri" w:eastAsia="Calibri" w:hAnsi="Calibri"/>
      <w:color w:val="5a5a5a"/>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png"/><Relationship Id="rId20" Type="http://schemas.openxmlformats.org/officeDocument/2006/relationships/image" Target="media/image20.png"/><Relationship Id="rId42" Type="http://schemas.openxmlformats.org/officeDocument/2006/relationships/hyperlink" Target="https://technicianapp.com/resources/average-true-range-atr/" TargetMode="External"/><Relationship Id="rId41" Type="http://schemas.openxmlformats.org/officeDocument/2006/relationships/image" Target="media/image13.png"/><Relationship Id="rId22" Type="http://schemas.openxmlformats.org/officeDocument/2006/relationships/image" Target="media/image29.png"/><Relationship Id="rId44" Type="http://schemas.openxmlformats.org/officeDocument/2006/relationships/hyperlink" Target="https://documentation.chartiq.com/tutorial-Using%20and%20Customizing%20Studies%20-%20Definitions.html" TargetMode="External"/><Relationship Id="rId21" Type="http://schemas.openxmlformats.org/officeDocument/2006/relationships/image" Target="media/image25.png"/><Relationship Id="rId43" Type="http://schemas.openxmlformats.org/officeDocument/2006/relationships/hyperlink" Target="https://technicianapp.com/resources/parabolic-sar/" TargetMode="External"/><Relationship Id="rId24" Type="http://schemas.openxmlformats.org/officeDocument/2006/relationships/image" Target="media/image24.png"/><Relationship Id="rId46" Type="http://schemas.openxmlformats.org/officeDocument/2006/relationships/footer" Target="footer4.xml"/><Relationship Id="rId23" Type="http://schemas.openxmlformats.org/officeDocument/2006/relationships/image" Target="media/image21.png"/><Relationship Id="rId45"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26" Type="http://schemas.openxmlformats.org/officeDocument/2006/relationships/image" Target="media/image32.png"/><Relationship Id="rId25" Type="http://schemas.openxmlformats.org/officeDocument/2006/relationships/image" Target="media/image30.png"/><Relationship Id="rId47" Type="http://schemas.openxmlformats.org/officeDocument/2006/relationships/footer" Target="footer3.xml"/><Relationship Id="rId28" Type="http://schemas.openxmlformats.org/officeDocument/2006/relationships/image" Target="media/image27.png"/><Relationship Id="rId27" Type="http://schemas.openxmlformats.org/officeDocument/2006/relationships/image" Target="media/image28.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33.png"/><Relationship Id="rId7" Type="http://schemas.openxmlformats.org/officeDocument/2006/relationships/image" Target="media/image2.png"/><Relationship Id="rId8" Type="http://schemas.openxmlformats.org/officeDocument/2006/relationships/hyperlink" Target="https://documentation.chartiq.com/" TargetMode="External"/><Relationship Id="rId31" Type="http://schemas.openxmlformats.org/officeDocument/2006/relationships/image" Target="media/image31.png"/><Relationship Id="rId30" Type="http://schemas.openxmlformats.org/officeDocument/2006/relationships/image" Target="media/image26.png"/><Relationship Id="rId11" Type="http://schemas.openxmlformats.org/officeDocument/2006/relationships/footer" Target="footer2.xml"/><Relationship Id="rId33" Type="http://schemas.openxmlformats.org/officeDocument/2006/relationships/image" Target="media/image19.png"/><Relationship Id="rId10" Type="http://schemas.openxmlformats.org/officeDocument/2006/relationships/header" Target="header1.xml"/><Relationship Id="rId32" Type="http://schemas.openxmlformats.org/officeDocument/2006/relationships/image" Target="media/image14.png"/><Relationship Id="rId13" Type="http://schemas.openxmlformats.org/officeDocument/2006/relationships/image" Target="media/image6.png"/><Relationship Id="rId35" Type="http://schemas.openxmlformats.org/officeDocument/2006/relationships/image" Target="media/image5.png"/><Relationship Id="rId12" Type="http://schemas.openxmlformats.org/officeDocument/2006/relationships/footer" Target="footer1.xml"/><Relationship Id="rId34" Type="http://schemas.openxmlformats.org/officeDocument/2006/relationships/image" Target="media/image9.png"/><Relationship Id="rId15" Type="http://schemas.openxmlformats.org/officeDocument/2006/relationships/image" Target="media/image12.png"/><Relationship Id="rId37" Type="http://schemas.openxmlformats.org/officeDocument/2006/relationships/image" Target="media/image8.png"/><Relationship Id="rId14" Type="http://schemas.openxmlformats.org/officeDocument/2006/relationships/image" Target="media/image15.png"/><Relationship Id="rId36" Type="http://schemas.openxmlformats.org/officeDocument/2006/relationships/image" Target="media/image18.png"/><Relationship Id="rId17" Type="http://schemas.openxmlformats.org/officeDocument/2006/relationships/image" Target="media/image23.png"/><Relationship Id="rId39" Type="http://schemas.openxmlformats.org/officeDocument/2006/relationships/image" Target="media/image7.png"/><Relationship Id="rId16" Type="http://schemas.openxmlformats.org/officeDocument/2006/relationships/image" Target="media/image17.png"/><Relationship Id="rId38" Type="http://schemas.openxmlformats.org/officeDocument/2006/relationships/image" Target="media/image3.png"/><Relationship Id="rId19" Type="http://schemas.openxmlformats.org/officeDocument/2006/relationships/image" Target="media/image22.png"/><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KcDkgm4Ak1q3C7V9S49YLUMV/w==">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2020-02-05T14:12:00Z</dcterms:created>
</cp:coreProperties>
</file>